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609"/>
        <w:gridCol w:w="7021"/>
      </w:tblGrid>
      <w:tr w:rsidR="002C2E3B" w:rsidRPr="002C2E3B" w14:paraId="581A6A86" w14:textId="77777777" w:rsidTr="00A273F5">
        <w:trPr>
          <w:trHeight w:val="1790"/>
        </w:trPr>
        <w:tc>
          <w:tcPr>
            <w:tcW w:w="1638" w:type="dxa"/>
          </w:tcPr>
          <w:p w14:paraId="2F416150" w14:textId="77777777" w:rsidR="002C2E3B" w:rsidRPr="002C2E3B" w:rsidRDefault="002C2E3B" w:rsidP="002C2E3B">
            <w:pPr>
              <w:spacing w:before="0" w:beforeAutospacing="0" w:after="0" w:afterAutospacing="0"/>
              <w:jc w:val="center"/>
            </w:pPr>
            <w:r w:rsidRPr="002C2E3B">
              <w:rPr>
                <w:rFonts w:ascii="System" w:eastAsia="Calibri" w:hAnsi="System"/>
                <w:noProof/>
                <w:szCs w:val="20"/>
              </w:rPr>
              <w:drawing>
                <wp:inline distT="0" distB="0" distL="0" distR="0" wp14:anchorId="08756BBA" wp14:editId="1BB27845">
                  <wp:extent cx="403860" cy="520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860" cy="520700"/>
                          </a:xfrm>
                          <a:prstGeom prst="rect">
                            <a:avLst/>
                          </a:prstGeom>
                          <a:noFill/>
                          <a:ln>
                            <a:noFill/>
                          </a:ln>
                        </pic:spPr>
                      </pic:pic>
                    </a:graphicData>
                  </a:graphic>
                </wp:inline>
              </w:drawing>
            </w:r>
          </w:p>
          <w:p w14:paraId="7A3F0BE2" w14:textId="77777777" w:rsidR="002C2E3B" w:rsidRPr="002C2E3B" w:rsidRDefault="002C2E3B" w:rsidP="002C2E3B">
            <w:pPr>
              <w:spacing w:before="0" w:beforeAutospacing="0" w:after="0" w:afterAutospacing="0"/>
              <w:rPr>
                <w:rFonts w:eastAsia="Calibri"/>
                <w:sz w:val="20"/>
                <w:szCs w:val="20"/>
              </w:rPr>
            </w:pPr>
            <w:r w:rsidRPr="002C2E3B">
              <w:rPr>
                <w:rFonts w:eastAsia="Calibri"/>
                <w:sz w:val="20"/>
                <w:szCs w:val="20"/>
              </w:rPr>
              <w:t>U.S. Department</w:t>
            </w:r>
          </w:p>
          <w:p w14:paraId="5FB7C46D" w14:textId="77777777" w:rsidR="002C2E3B" w:rsidRPr="002C2E3B" w:rsidRDefault="002C2E3B" w:rsidP="002C2E3B">
            <w:pPr>
              <w:spacing w:before="0" w:beforeAutospacing="0" w:after="0" w:afterAutospacing="0"/>
              <w:rPr>
                <w:rFonts w:eastAsia="Calibri"/>
                <w:sz w:val="20"/>
                <w:szCs w:val="20"/>
              </w:rPr>
            </w:pPr>
            <w:r w:rsidRPr="002C2E3B">
              <w:rPr>
                <w:rFonts w:eastAsia="Calibri"/>
                <w:sz w:val="20"/>
                <w:szCs w:val="20"/>
              </w:rPr>
              <w:t>of Transportation</w:t>
            </w:r>
          </w:p>
          <w:p w14:paraId="27F77605" w14:textId="77777777" w:rsidR="002C2E3B" w:rsidRPr="002C2E3B" w:rsidRDefault="002C2E3B" w:rsidP="002C2E3B">
            <w:pPr>
              <w:spacing w:before="0" w:beforeAutospacing="0" w:after="0" w:afterAutospacing="0"/>
              <w:rPr>
                <w:rFonts w:eastAsia="Calibri"/>
                <w:sz w:val="20"/>
                <w:szCs w:val="20"/>
              </w:rPr>
            </w:pPr>
            <w:r w:rsidRPr="002C2E3B">
              <w:rPr>
                <w:rFonts w:eastAsia="Calibri"/>
                <w:sz w:val="20"/>
                <w:szCs w:val="20"/>
              </w:rPr>
              <w:t>Federal Aviation</w:t>
            </w:r>
          </w:p>
          <w:p w14:paraId="5B777149" w14:textId="77777777" w:rsidR="002C2E3B" w:rsidRPr="002C2E3B" w:rsidRDefault="002C2E3B" w:rsidP="002C2E3B">
            <w:pPr>
              <w:spacing w:before="0" w:beforeAutospacing="0" w:after="0" w:afterAutospacing="0"/>
              <w:rPr>
                <w:rFonts w:eastAsia="Calibri"/>
                <w:sz w:val="20"/>
                <w:szCs w:val="20"/>
              </w:rPr>
            </w:pPr>
            <w:r w:rsidRPr="002C2E3B">
              <w:rPr>
                <w:rFonts w:eastAsia="Calibri"/>
                <w:sz w:val="20"/>
                <w:szCs w:val="20"/>
              </w:rPr>
              <w:t>Administration</w:t>
            </w:r>
          </w:p>
          <w:p w14:paraId="1041E4B3" w14:textId="77777777" w:rsidR="002C2E3B" w:rsidRPr="002C2E3B" w:rsidRDefault="002C2E3B" w:rsidP="002C2E3B">
            <w:pPr>
              <w:spacing w:before="0" w:beforeAutospacing="0" w:after="0" w:afterAutospacing="0"/>
            </w:pPr>
          </w:p>
        </w:tc>
        <w:tc>
          <w:tcPr>
            <w:tcW w:w="7938" w:type="dxa"/>
          </w:tcPr>
          <w:p w14:paraId="4AEF5F13" w14:textId="77777777" w:rsidR="002C2E3B" w:rsidRPr="002C2E3B" w:rsidRDefault="002C2E3B" w:rsidP="002C2E3B">
            <w:pPr>
              <w:spacing w:before="0" w:beforeAutospacing="0" w:after="0" w:afterAutospacing="0"/>
            </w:pPr>
          </w:p>
          <w:p w14:paraId="5C1F30A5" w14:textId="77777777" w:rsidR="002C2E3B" w:rsidRPr="002C2E3B" w:rsidRDefault="002C2E3B" w:rsidP="002C2E3B">
            <w:pPr>
              <w:spacing w:before="0" w:beforeAutospacing="0" w:after="0" w:afterAutospacing="0"/>
            </w:pPr>
          </w:p>
          <w:p w14:paraId="339A147E" w14:textId="77777777" w:rsidR="002C2E3B" w:rsidRPr="002C2E3B" w:rsidRDefault="002C2E3B" w:rsidP="002C2E3B">
            <w:pPr>
              <w:spacing w:before="0" w:beforeAutospacing="0" w:after="0" w:afterAutospacing="0"/>
            </w:pPr>
          </w:p>
          <w:p w14:paraId="3910E47D" w14:textId="28BC9D4D" w:rsidR="002C2E3B" w:rsidRPr="002C2E3B" w:rsidRDefault="002C2E3B" w:rsidP="002C2E3B">
            <w:pPr>
              <w:spacing w:before="0" w:beforeAutospacing="0" w:after="0" w:afterAutospacing="0"/>
              <w:jc w:val="center"/>
              <w:rPr>
                <w:sz w:val="28"/>
                <w:szCs w:val="28"/>
              </w:rPr>
            </w:pPr>
            <w:r>
              <w:rPr>
                <w:sz w:val="28"/>
                <w:szCs w:val="28"/>
              </w:rPr>
              <w:t>Appraisal Scope of Work</w:t>
            </w:r>
          </w:p>
        </w:tc>
      </w:tr>
    </w:tbl>
    <w:p w14:paraId="75C370BA" w14:textId="77777777" w:rsidR="00866785" w:rsidRDefault="00A44FAA" w:rsidP="003F372F">
      <w:pPr>
        <w:pStyle w:val="NormalWeb"/>
        <w:jc w:val="center"/>
        <w:rPr>
          <w:rStyle w:val="Strong"/>
        </w:rPr>
      </w:pPr>
      <w:bookmarkStart w:id="0" w:name="FAA_7683"/>
      <w:bookmarkEnd w:id="0"/>
      <w:r>
        <w:rPr>
          <w:rStyle w:val="Strong"/>
        </w:rPr>
        <w:t>U.S. DEPARTMENT OF TRANSPORTATION</w:t>
      </w:r>
    </w:p>
    <w:p w14:paraId="5AC514F7" w14:textId="73117B72" w:rsidR="00A44FAA" w:rsidRDefault="00A44FAA" w:rsidP="00A44FAA">
      <w:pPr>
        <w:pStyle w:val="NormalWeb"/>
        <w:jc w:val="center"/>
        <w:rPr>
          <w:rStyle w:val="Strong"/>
        </w:rPr>
      </w:pPr>
      <w:r>
        <w:rPr>
          <w:rStyle w:val="Strong"/>
        </w:rPr>
        <w:t>FEDERAL AVIATION ADMINISTRATION</w:t>
      </w:r>
    </w:p>
    <w:p w14:paraId="55C23161" w14:textId="52076027" w:rsidR="00A44FAA" w:rsidRDefault="00A44FAA" w:rsidP="00A44FAA">
      <w:pPr>
        <w:pStyle w:val="NormalWeb"/>
        <w:jc w:val="center"/>
      </w:pPr>
      <w:r>
        <w:rPr>
          <w:rStyle w:val="Strong"/>
        </w:rPr>
        <w:t xml:space="preserve">Contract Number:  </w:t>
      </w:r>
      <w:r w:rsidR="0020559C" w:rsidRPr="0020559C">
        <w:rPr>
          <w:rStyle w:val="Strong"/>
          <w:i/>
          <w:u w:val="single"/>
        </w:rPr>
        <w:t>A</w:t>
      </w:r>
      <w:r w:rsidR="006846A1" w:rsidRPr="0020559C">
        <w:rPr>
          <w:rStyle w:val="Strong"/>
          <w:i/>
          <w:u w:val="single"/>
        </w:rPr>
        <w:t>ssigned from Prism</w:t>
      </w:r>
    </w:p>
    <w:p w14:paraId="4800F970" w14:textId="53DE7678" w:rsidR="00A44FAA" w:rsidRDefault="00A44FAA" w:rsidP="002B2346">
      <w:pPr>
        <w:pStyle w:val="NormalWeb"/>
        <w:spacing w:before="0" w:beforeAutospacing="0" w:after="0" w:afterAutospacing="0"/>
      </w:pPr>
      <w:r>
        <w:t xml:space="preserve">This contract is made and entered into this </w:t>
      </w:r>
      <w:bookmarkStart w:id="1" w:name="Text5"/>
      <w:r w:rsidR="000C1B57" w:rsidRPr="00D33AA9">
        <w:rPr>
          <w:u w:val="single"/>
        </w:rPr>
        <w:t xml:space="preserve"> </w:t>
      </w:r>
      <w:r w:rsidR="00D33AA9" w:rsidRPr="00D33AA9">
        <w:rPr>
          <w:u w:val="single"/>
        </w:rPr>
        <w:t xml:space="preserve">     </w:t>
      </w:r>
      <w:bookmarkEnd w:id="1"/>
      <w:r>
        <w:t xml:space="preserve"> day of </w:t>
      </w:r>
      <w:bookmarkStart w:id="2" w:name="Text6"/>
      <w:r w:rsidR="00D33AA9">
        <w:rPr>
          <w:u w:val="single"/>
        </w:rPr>
        <w:t xml:space="preserve">       </w:t>
      </w:r>
      <w:proofErr w:type="gramStart"/>
      <w:r w:rsidR="00D33AA9">
        <w:rPr>
          <w:u w:val="single"/>
        </w:rPr>
        <w:t xml:space="preserve">  </w:t>
      </w:r>
      <w:r w:rsidR="00643D92">
        <w:t>,</w:t>
      </w:r>
      <w:bookmarkEnd w:id="2"/>
      <w:proofErr w:type="gramEnd"/>
      <w:r>
        <w:t xml:space="preserve"> 20</w:t>
      </w:r>
      <w:bookmarkStart w:id="3" w:name="Text7"/>
      <w:r w:rsidR="00A10F20">
        <w:t>_</w:t>
      </w:r>
      <w:r w:rsidR="000D127B">
        <w:t>_</w:t>
      </w:r>
      <w:bookmarkEnd w:id="3"/>
      <w:r>
        <w:t xml:space="preserve"> between the United States of America, herein after called the “the Government,” acting by and through the Federal Aviation Administration represented by the undersigned </w:t>
      </w:r>
      <w:r w:rsidR="0020559C">
        <w:t xml:space="preserve">Real Estate </w:t>
      </w:r>
      <w:r>
        <w:t xml:space="preserve">Contracting Officer </w:t>
      </w:r>
      <w:bookmarkStart w:id="4" w:name="Text8"/>
      <w:r w:rsidR="007C3801">
        <w:t>(RECO)</w:t>
      </w:r>
      <w:r w:rsidR="000D127B">
        <w:t>,</w:t>
      </w:r>
      <w:bookmarkEnd w:id="4"/>
      <w:r>
        <w:t xml:space="preserve"> and </w:t>
      </w:r>
      <w:bookmarkStart w:id="5" w:name="Text9"/>
      <w:r w:rsidR="00A86F9E">
        <w:t xml:space="preserve">&lt; </w:t>
      </w:r>
      <w:r w:rsidR="00A86F9E" w:rsidRPr="002B2346">
        <w:rPr>
          <w:i/>
          <w:highlight w:val="darkGray"/>
          <w:u w:val="single"/>
        </w:rPr>
        <w:t xml:space="preserve">insert </w:t>
      </w:r>
      <w:r w:rsidR="00186034" w:rsidRPr="002B2346">
        <w:rPr>
          <w:i/>
          <w:highlight w:val="darkGray"/>
          <w:u w:val="single"/>
        </w:rPr>
        <w:t>Appraiser’s Name</w:t>
      </w:r>
      <w:r w:rsidR="00186034" w:rsidRPr="002B2346">
        <w:rPr>
          <w:highlight w:val="darkGray"/>
          <w:u w:val="single"/>
        </w:rPr>
        <w:t>/</w:t>
      </w:r>
      <w:r w:rsidR="00186034" w:rsidRPr="002B2346">
        <w:rPr>
          <w:highlight w:val="darkGray"/>
        </w:rPr>
        <w:t xml:space="preserve"> </w:t>
      </w:r>
      <w:r w:rsidR="0020559C" w:rsidRPr="002B2346">
        <w:rPr>
          <w:i/>
          <w:highlight w:val="darkGray"/>
          <w:u w:val="single"/>
        </w:rPr>
        <w:t>Apprais</w:t>
      </w:r>
      <w:r w:rsidR="00A86F9E" w:rsidRPr="002B2346">
        <w:rPr>
          <w:i/>
          <w:highlight w:val="darkGray"/>
          <w:u w:val="single"/>
        </w:rPr>
        <w:t>al Firm</w:t>
      </w:r>
      <w:r w:rsidR="0020559C" w:rsidRPr="002B2346">
        <w:rPr>
          <w:i/>
          <w:highlight w:val="darkGray"/>
          <w:u w:val="single"/>
        </w:rPr>
        <w:t xml:space="preserve">’s </w:t>
      </w:r>
      <w:r w:rsidR="006846A1" w:rsidRPr="002B2346">
        <w:rPr>
          <w:i/>
          <w:highlight w:val="darkGray"/>
          <w:u w:val="single"/>
        </w:rPr>
        <w:t>Name</w:t>
      </w:r>
      <w:r w:rsidR="00A86F9E">
        <w:rPr>
          <w:i/>
          <w:u w:val="single"/>
        </w:rPr>
        <w:t>&gt;</w:t>
      </w:r>
      <w:r w:rsidR="006846A1" w:rsidRPr="000D127B">
        <w:rPr>
          <w:i/>
          <w:u w:val="single"/>
        </w:rPr>
        <w:t xml:space="preserve"> </w:t>
      </w:r>
      <w:r w:rsidR="00643D92" w:rsidRPr="000D127B">
        <w:t>,</w:t>
      </w:r>
      <w:bookmarkEnd w:id="5"/>
      <w:r>
        <w:t xml:space="preserve"> hereinafter called the “Contractor,” witnessed that the parties do hereby agree as follows</w:t>
      </w:r>
      <w:r w:rsidR="000D127B">
        <w:t>;</w:t>
      </w:r>
    </w:p>
    <w:p w14:paraId="6373C2A9" w14:textId="77777777" w:rsidR="00D14968" w:rsidRDefault="00D14968" w:rsidP="00D14968">
      <w:pPr>
        <w:pStyle w:val="NormalWeb"/>
        <w:spacing w:before="0" w:beforeAutospacing="0" w:after="0" w:afterAutospacing="0"/>
      </w:pPr>
    </w:p>
    <w:p w14:paraId="686E0E3C" w14:textId="2C553CDD" w:rsidR="00A44FAA" w:rsidRDefault="00A44FAA" w:rsidP="002B2346">
      <w:pPr>
        <w:pStyle w:val="Heading1"/>
        <w:numPr>
          <w:ilvl w:val="0"/>
          <w:numId w:val="0"/>
        </w:numPr>
        <w:spacing w:before="0" w:beforeAutospacing="0" w:after="0" w:afterAutospacing="0"/>
      </w:pPr>
      <w:r w:rsidRPr="004F6BCA">
        <w:rPr>
          <w:u w:val="none"/>
        </w:rPr>
        <w:t>1.</w:t>
      </w:r>
      <w:r w:rsidR="00182FA7" w:rsidRPr="004F6BCA">
        <w:rPr>
          <w:u w:val="none"/>
        </w:rPr>
        <w:tab/>
      </w:r>
      <w:r w:rsidR="00776D40" w:rsidRPr="00776D40">
        <w:t>Statement of Work</w:t>
      </w:r>
      <w:r w:rsidRPr="009C66D8">
        <w:t>:</w:t>
      </w:r>
    </w:p>
    <w:p w14:paraId="744DC954" w14:textId="67EAB84F" w:rsidR="00182FA7" w:rsidRDefault="00A44FAA" w:rsidP="00182FA7">
      <w:pPr>
        <w:pStyle w:val="NormalWeb"/>
        <w:spacing w:before="0" w:beforeAutospacing="0" w:after="0" w:afterAutospacing="0"/>
        <w:ind w:left="360"/>
      </w:pPr>
      <w:r>
        <w:t xml:space="preserve">Furnish </w:t>
      </w:r>
      <w:r w:rsidR="003E5F56" w:rsidRPr="00776D40">
        <w:t>one (1)</w:t>
      </w:r>
      <w:r w:rsidR="00485363" w:rsidRPr="00776D40">
        <w:t xml:space="preserve"> signed </w:t>
      </w:r>
      <w:r w:rsidR="003E5F56" w:rsidRPr="00776D40">
        <w:t xml:space="preserve">pdf </w:t>
      </w:r>
      <w:proofErr w:type="gramStart"/>
      <w:r w:rsidR="009C66D8">
        <w:t>(</w:t>
      </w:r>
      <w:r w:rsidR="003E5F56" w:rsidRPr="00776D40">
        <w:t xml:space="preserve"> </w:t>
      </w:r>
      <w:r w:rsidR="00B05F5C" w:rsidRPr="00776D40">
        <w:t>two</w:t>
      </w:r>
      <w:proofErr w:type="gramEnd"/>
      <w:r w:rsidR="00485363" w:rsidRPr="00776D40">
        <w:t xml:space="preserve"> </w:t>
      </w:r>
      <w:r w:rsidR="009C66D8">
        <w:t>(2)</w:t>
      </w:r>
      <w:r w:rsidR="00485363" w:rsidRPr="00776D40">
        <w:t>-</w:t>
      </w:r>
      <w:r w:rsidR="009C66D8">
        <w:t xml:space="preserve"> </w:t>
      </w:r>
      <w:r>
        <w:t xml:space="preserve">copies </w:t>
      </w:r>
      <w:r w:rsidR="00485363" w:rsidRPr="00776D40">
        <w:t>if going to condemnation</w:t>
      </w:r>
      <w:r w:rsidR="009C66D8">
        <w:t>) along with two</w:t>
      </w:r>
      <w:r w:rsidR="00B05F5C" w:rsidRPr="00776D40">
        <w:t xml:space="preserve"> (2</w:t>
      </w:r>
      <w:r w:rsidR="000C1B57" w:rsidRPr="00776D40">
        <w:t xml:space="preserve">) </w:t>
      </w:r>
      <w:r w:rsidR="00DD55F6" w:rsidRPr="00776D40">
        <w:t>signed hard copies</w:t>
      </w:r>
      <w:r w:rsidR="003E5F56" w:rsidRPr="00776D40">
        <w:t xml:space="preserve"> of </w:t>
      </w:r>
      <w:r w:rsidR="00DD55F6" w:rsidRPr="00776D40">
        <w:t>the</w:t>
      </w:r>
      <w:r>
        <w:t xml:space="preserve"> appraisal report </w:t>
      </w:r>
      <w:r w:rsidR="00805EE8" w:rsidRPr="00776D40">
        <w:t>written</w:t>
      </w:r>
      <w:r w:rsidR="000C1B57" w:rsidRPr="00776D40">
        <w:t xml:space="preserve"> </w:t>
      </w:r>
      <w:r w:rsidR="00730DB9" w:rsidRPr="00776D40">
        <w:t xml:space="preserve">with </w:t>
      </w:r>
      <w:r w:rsidR="00AA53E3" w:rsidRPr="00776D40">
        <w:t>sufficient</w:t>
      </w:r>
      <w:r w:rsidR="00730DB9" w:rsidRPr="00776D40">
        <w:t xml:space="preserve"> detail </w:t>
      </w:r>
      <w:r w:rsidR="00AA53E3" w:rsidRPr="00776D40">
        <w:t xml:space="preserve">to </w:t>
      </w:r>
      <w:r w:rsidR="007102CE" w:rsidRPr="00776D40">
        <w:t xml:space="preserve">support </w:t>
      </w:r>
      <w:r w:rsidR="00805EE8" w:rsidRPr="00776D40">
        <w:t xml:space="preserve">and justify the </w:t>
      </w:r>
      <w:r w:rsidR="00AA53E3" w:rsidRPr="00776D40">
        <w:t xml:space="preserve">logic </w:t>
      </w:r>
      <w:r w:rsidR="00805EE8" w:rsidRPr="00776D40">
        <w:t>used to arrive at a</w:t>
      </w:r>
      <w:r w:rsidR="00A86F9E" w:rsidRPr="00776D40">
        <w:t xml:space="preserve"> credible </w:t>
      </w:r>
      <w:r w:rsidR="00805EE8" w:rsidRPr="00776D40">
        <w:t>estimate of value</w:t>
      </w:r>
      <w:r w:rsidR="00AA53E3" w:rsidRPr="00776D40">
        <w:t>. The report must</w:t>
      </w:r>
      <w:r w:rsidR="00730DB9" w:rsidRPr="00776D40">
        <w:t xml:space="preserve"> conform</w:t>
      </w:r>
      <w:r>
        <w:t xml:space="preserve"> to the </w:t>
      </w:r>
      <w:r w:rsidRPr="002B2346">
        <w:t xml:space="preserve">Uniform </w:t>
      </w:r>
      <w:r w:rsidR="00402B84" w:rsidRPr="00776D40">
        <w:t xml:space="preserve">Standards of </w:t>
      </w:r>
      <w:r w:rsidR="00F9631E" w:rsidRPr="00776D40">
        <w:t xml:space="preserve">Professional </w:t>
      </w:r>
      <w:r w:rsidR="00402B84" w:rsidRPr="00776D40">
        <w:t>Appraisal Practice</w:t>
      </w:r>
      <w:r w:rsidR="00F9631E" w:rsidRPr="00776D40">
        <w:t xml:space="preserve"> (USPAP)</w:t>
      </w:r>
      <w:r w:rsidR="00402B84" w:rsidRPr="00776D40">
        <w:t xml:space="preserve"> effective January 1, 2016 and </w:t>
      </w:r>
      <w:r w:rsidR="000C1B57" w:rsidRPr="00776D40">
        <w:t xml:space="preserve">the </w:t>
      </w:r>
      <w:r w:rsidR="000C1B57" w:rsidRPr="00776D40">
        <w:rPr>
          <w:rStyle w:val="Emphasis"/>
          <w:bCs/>
          <w:i w:val="0"/>
        </w:rPr>
        <w:t xml:space="preserve">Uniform </w:t>
      </w:r>
      <w:r w:rsidRPr="002B2346">
        <w:rPr>
          <w:rStyle w:val="Emphasis"/>
          <w:i w:val="0"/>
        </w:rPr>
        <w:t xml:space="preserve">Appraisal Standards for </w:t>
      </w:r>
      <w:smartTag w:uri="urn:schemas-microsoft-com:office:smarttags" w:element="PlaceName">
        <w:r w:rsidRPr="002B2346">
          <w:rPr>
            <w:rStyle w:val="Emphasis"/>
            <w:i w:val="0"/>
          </w:rPr>
          <w:t>Federal</w:t>
        </w:r>
      </w:smartTag>
      <w:r w:rsidRPr="002B2346">
        <w:rPr>
          <w:rStyle w:val="Emphasis"/>
          <w:i w:val="0"/>
        </w:rPr>
        <w:t xml:space="preserve"> </w:t>
      </w:r>
      <w:smartTag w:uri="urn:schemas-microsoft-com:office:smarttags" w:element="PlaceType">
        <w:r w:rsidRPr="002B2346">
          <w:rPr>
            <w:rStyle w:val="Emphasis"/>
            <w:i w:val="0"/>
          </w:rPr>
          <w:t>Land</w:t>
        </w:r>
      </w:smartTag>
      <w:r w:rsidRPr="002B2346">
        <w:rPr>
          <w:rStyle w:val="Emphasis"/>
          <w:i w:val="0"/>
        </w:rPr>
        <w:t xml:space="preserve"> Acquisitions</w:t>
      </w:r>
      <w:r w:rsidR="00F9631E" w:rsidRPr="00776D40">
        <w:rPr>
          <w:rStyle w:val="Emphasis"/>
          <w:bCs/>
          <w:i w:val="0"/>
        </w:rPr>
        <w:t xml:space="preserve"> (UASFLA)</w:t>
      </w:r>
      <w:r w:rsidR="000C1B57" w:rsidRPr="00776D40">
        <w:rPr>
          <w:rStyle w:val="Emphasis"/>
          <w:bCs/>
          <w:i w:val="0"/>
        </w:rPr>
        <w:t>,</w:t>
      </w:r>
      <w:r w:rsidRPr="002B2346">
        <w:rPr>
          <w:i/>
        </w:rPr>
        <w:t xml:space="preserve"> </w:t>
      </w:r>
      <w:smartTag w:uri="urn:schemas-microsoft-com:office:smarttags" w:element="place">
        <w:smartTag w:uri="urn:schemas-microsoft-com:office:smarttags" w:element="City">
          <w:r w:rsidRPr="002B2346">
            <w:rPr>
              <w:rStyle w:val="Emphasis"/>
              <w:i w:val="0"/>
            </w:rPr>
            <w:t>Washington</w:t>
          </w:r>
        </w:smartTag>
        <w:r w:rsidRPr="002B2346">
          <w:rPr>
            <w:rStyle w:val="Emphasis"/>
            <w:i w:val="0"/>
          </w:rPr>
          <w:t xml:space="preserve">, </w:t>
        </w:r>
        <w:smartTag w:uri="urn:schemas-microsoft-com:office:smarttags" w:element="State">
          <w:r w:rsidRPr="002B2346">
            <w:rPr>
              <w:rStyle w:val="Emphasis"/>
              <w:i w:val="0"/>
            </w:rPr>
            <w:t>DC</w:t>
          </w:r>
        </w:smartTag>
      </w:smartTag>
      <w:r w:rsidRPr="002B2346">
        <w:rPr>
          <w:i/>
        </w:rPr>
        <w:t xml:space="preserve">, </w:t>
      </w:r>
      <w:r w:rsidRPr="002B2346">
        <w:rPr>
          <w:rStyle w:val="Emphasis"/>
          <w:i w:val="0"/>
        </w:rPr>
        <w:t xml:space="preserve">December </w:t>
      </w:r>
      <w:r w:rsidR="00FA7C4A" w:rsidRPr="00776D40">
        <w:rPr>
          <w:rStyle w:val="Emphasis"/>
          <w:bCs/>
          <w:i w:val="0"/>
        </w:rPr>
        <w:t>6, 2016</w:t>
      </w:r>
      <w:r w:rsidRPr="002B2346">
        <w:rPr>
          <w:i/>
        </w:rPr>
        <w:t>,</w:t>
      </w:r>
      <w:r>
        <w:t xml:space="preserve"> hereafter referred to as the </w:t>
      </w:r>
      <w:r w:rsidR="002E0CCB">
        <w:t>“</w:t>
      </w:r>
      <w:r>
        <w:t>Yellow Book</w:t>
      </w:r>
      <w:r w:rsidR="002E0CCB">
        <w:t>”</w:t>
      </w:r>
      <w:r w:rsidR="000C1B57">
        <w:t>.</w:t>
      </w:r>
      <w:r>
        <w:t xml:space="preserve">  The Yellow Book </w:t>
      </w:r>
      <w:r w:rsidR="00A86F9E">
        <w:t>is the</w:t>
      </w:r>
      <w:r>
        <w:t xml:space="preserve"> primary technical guide and </w:t>
      </w:r>
      <w:r w:rsidR="00A86F9E">
        <w:t>there is</w:t>
      </w:r>
      <w:r>
        <w:t xml:space="preserve"> to </w:t>
      </w:r>
      <w:r w:rsidR="00A86F9E">
        <w:t>be</w:t>
      </w:r>
      <w:r w:rsidR="000C1B57">
        <w:t xml:space="preserve"> include</w:t>
      </w:r>
      <w:r w:rsidR="00A86F9E">
        <w:t>d</w:t>
      </w:r>
      <w:r>
        <w:t xml:space="preserve"> a statement of compliance with this guide in your certification.  Copies </w:t>
      </w:r>
      <w:r w:rsidR="000D127B">
        <w:t>of the Yellow Book</w:t>
      </w:r>
      <w:r w:rsidR="000C1B57">
        <w:t xml:space="preserve"> </w:t>
      </w:r>
      <w:r>
        <w:t>are available from the Department of Justice’s Internet web site at</w:t>
      </w:r>
      <w:r w:rsidR="000D127B">
        <w:t>:</w:t>
      </w:r>
      <w:r>
        <w:t xml:space="preserve"> </w:t>
      </w:r>
      <w:hyperlink r:id="rId9" w:history="1">
        <w:r w:rsidR="00BB1146" w:rsidRPr="00121D09">
          <w:rPr>
            <w:rStyle w:val="Hyperlink"/>
          </w:rPr>
          <w:t>https://www.justice.gov/sites/default/files/enrd/legacy/2010/11/16/Uniform-Appraisal-Standards.pdf</w:t>
        </w:r>
      </w:hyperlink>
      <w:r>
        <w:t xml:space="preserve"> or in printed format from the Appraisal Institute.  </w:t>
      </w:r>
      <w:r w:rsidR="003E500F">
        <w:t xml:space="preserve">Additional assignment conditions and guidance are outlines in Exhibit A, </w:t>
      </w:r>
      <w:r w:rsidR="001E4F98">
        <w:t>A</w:t>
      </w:r>
      <w:r w:rsidR="003E500F">
        <w:t>ppraisal Standards and Guidance and</w:t>
      </w:r>
      <w:r w:rsidR="009623B4">
        <w:t xml:space="preserve"> </w:t>
      </w:r>
      <w:r w:rsidR="003E500F">
        <w:t xml:space="preserve">Exhibit B, </w:t>
      </w:r>
      <w:r w:rsidR="00CF4C55">
        <w:t>Appraisal Assignment Statement o</w:t>
      </w:r>
      <w:r w:rsidR="009623B4">
        <w:t>f Work (AASOW).</w:t>
      </w:r>
    </w:p>
    <w:p w14:paraId="673180BE" w14:textId="77777777" w:rsidR="00182FA7" w:rsidRDefault="00182FA7" w:rsidP="00D14968">
      <w:pPr>
        <w:pStyle w:val="NormalWeb"/>
        <w:spacing w:before="0" w:beforeAutospacing="0" w:after="0" w:afterAutospacing="0"/>
        <w:ind w:left="360"/>
      </w:pPr>
    </w:p>
    <w:p w14:paraId="7124E225" w14:textId="77777777" w:rsidR="00182FA7" w:rsidRPr="00182FA7" w:rsidRDefault="00182FA7" w:rsidP="00182FA7">
      <w:pPr>
        <w:pStyle w:val="ListParagraph"/>
        <w:ind w:left="0"/>
        <w:rPr>
          <w:rFonts w:ascii="Times New Roman" w:hAnsi="Times New Roman"/>
          <w:b/>
          <w:sz w:val="24"/>
          <w:szCs w:val="24"/>
          <w:u w:val="single"/>
        </w:rPr>
      </w:pPr>
      <w:r>
        <w:rPr>
          <w:rFonts w:ascii="Times New Roman" w:hAnsi="Times New Roman"/>
          <w:b/>
          <w:sz w:val="24"/>
          <w:szCs w:val="24"/>
        </w:rPr>
        <w:t>2</w:t>
      </w:r>
      <w:r w:rsidRPr="00182FA7">
        <w:rPr>
          <w:rFonts w:ascii="Times New Roman" w:hAnsi="Times New Roman"/>
          <w:b/>
          <w:sz w:val="24"/>
          <w:szCs w:val="24"/>
        </w:rPr>
        <w:t xml:space="preserve">. </w:t>
      </w:r>
      <w:r w:rsidRPr="00182FA7">
        <w:rPr>
          <w:rFonts w:ascii="Times New Roman" w:hAnsi="Times New Roman"/>
          <w:b/>
          <w:sz w:val="24"/>
          <w:szCs w:val="24"/>
        </w:rPr>
        <w:tab/>
      </w:r>
      <w:r w:rsidR="007B330A">
        <w:rPr>
          <w:rFonts w:ascii="Times New Roman" w:hAnsi="Times New Roman"/>
          <w:b/>
          <w:sz w:val="24"/>
          <w:szCs w:val="24"/>
          <w:u w:val="single"/>
        </w:rPr>
        <w:t>Commencement and Delivery</w:t>
      </w:r>
      <w:r>
        <w:rPr>
          <w:rFonts w:ascii="Times New Roman" w:hAnsi="Times New Roman"/>
          <w:b/>
          <w:sz w:val="24"/>
          <w:szCs w:val="24"/>
          <w:u w:val="single"/>
        </w:rPr>
        <w:t>:</w:t>
      </w:r>
    </w:p>
    <w:p w14:paraId="5F6AA716" w14:textId="7A110E49" w:rsidR="00A44FAA" w:rsidRPr="002B2346" w:rsidRDefault="007B330A" w:rsidP="002B2346">
      <w:pPr>
        <w:autoSpaceDE w:val="0"/>
        <w:autoSpaceDN w:val="0"/>
        <w:adjustRightInd w:val="0"/>
        <w:spacing w:before="0" w:beforeAutospacing="0" w:after="0" w:afterAutospacing="0"/>
        <w:ind w:right="-20"/>
        <w:rPr>
          <w:color w:val="000000"/>
        </w:rPr>
      </w:pPr>
      <w:r>
        <w:t xml:space="preserve">The subject appraisal report shall be provided within </w:t>
      </w:r>
      <w:r w:rsidR="00406C4B">
        <w:rPr>
          <w:i/>
          <w:color w:val="000000" w:themeColor="text1"/>
          <w:highlight w:val="lightGray"/>
          <w:u w:val="single"/>
        </w:rPr>
        <w:t>&lt;</w:t>
      </w:r>
      <w:r w:rsidR="00406C4B" w:rsidRPr="002B2346">
        <w:rPr>
          <w:i/>
          <w:color w:val="000000" w:themeColor="text1"/>
          <w:highlight w:val="darkGray"/>
          <w:u w:val="single"/>
        </w:rPr>
        <w:t>Insert number of day</w:t>
      </w:r>
      <w:r w:rsidR="00406C4B">
        <w:rPr>
          <w:i/>
          <w:color w:val="000000" w:themeColor="text1"/>
          <w:u w:val="single"/>
        </w:rPr>
        <w:t>&gt;</w:t>
      </w:r>
      <w:r w:rsidRPr="00406C4B">
        <w:rPr>
          <w:color w:val="000000" w:themeColor="text1"/>
        </w:rPr>
        <w:t xml:space="preserve"> </w:t>
      </w:r>
      <w:r>
        <w:t>calendar days after the Contractor receives written notice to proceed, </w:t>
      </w:r>
      <w:r w:rsidR="00182FA7" w:rsidRPr="00675AA5">
        <w:rPr>
          <w:color w:val="000000"/>
        </w:rPr>
        <w:t>thereby establishing the completion date of not later than &lt;</w:t>
      </w:r>
      <w:r w:rsidR="00182FA7" w:rsidRPr="00406C4B">
        <w:rPr>
          <w:color w:val="000000"/>
          <w:highlight w:val="lightGray"/>
          <w:u w:val="single"/>
        </w:rPr>
        <w:t>Insert month, day, and year of completion date</w:t>
      </w:r>
      <w:r w:rsidR="00182FA7" w:rsidRPr="00675AA5">
        <w:rPr>
          <w:color w:val="000000"/>
        </w:rPr>
        <w:t>&gt;.</w:t>
      </w:r>
      <w:r>
        <w:rPr>
          <w:color w:val="000000"/>
        </w:rPr>
        <w:t xml:space="preserve"> </w:t>
      </w:r>
      <w:r w:rsidR="00A44FAA">
        <w:t>Billings for services provided prior to the said commencement date will not be honored.</w:t>
      </w:r>
    </w:p>
    <w:p w14:paraId="1998EB49" w14:textId="77777777" w:rsidR="00182FA7" w:rsidRPr="00675AA5" w:rsidRDefault="00182FA7" w:rsidP="00182FA7">
      <w:pPr>
        <w:autoSpaceDE w:val="0"/>
        <w:autoSpaceDN w:val="0"/>
        <w:adjustRightInd w:val="0"/>
        <w:spacing w:before="0" w:beforeAutospacing="0" w:after="0" w:afterAutospacing="0"/>
        <w:ind w:right="-20"/>
        <w:rPr>
          <w:color w:val="000000"/>
        </w:rPr>
      </w:pPr>
    </w:p>
    <w:p w14:paraId="1A86FF67" w14:textId="77777777" w:rsidR="00182FA7" w:rsidRPr="005B7922" w:rsidRDefault="00182FA7" w:rsidP="00182FA7">
      <w:pPr>
        <w:pStyle w:val="Heading1"/>
        <w:numPr>
          <w:ilvl w:val="0"/>
          <w:numId w:val="0"/>
        </w:numPr>
        <w:spacing w:before="0" w:beforeAutospacing="0" w:after="0" w:afterAutospacing="0"/>
      </w:pPr>
      <w:r>
        <w:rPr>
          <w:u w:val="none"/>
        </w:rPr>
        <w:t>3</w:t>
      </w:r>
      <w:r w:rsidRPr="00AF0198">
        <w:rPr>
          <w:u w:val="none"/>
        </w:rPr>
        <w:t xml:space="preserve">. </w:t>
      </w:r>
      <w:r w:rsidRPr="00AF0198">
        <w:rPr>
          <w:u w:val="none"/>
        </w:rPr>
        <w:tab/>
      </w:r>
      <w:r w:rsidRPr="00675AA5">
        <w:t xml:space="preserve">3.4.1-7 </w:t>
      </w:r>
      <w:r>
        <w:t xml:space="preserve">- </w:t>
      </w:r>
      <w:r w:rsidRPr="00675AA5">
        <w:t>Notice to Proceed (April 1996)</w:t>
      </w:r>
      <w:r>
        <w:t>:</w:t>
      </w:r>
    </w:p>
    <w:p w14:paraId="4800C884" w14:textId="77777777" w:rsidR="00182FA7" w:rsidRDefault="00182FA7" w:rsidP="00182FA7">
      <w:pPr>
        <w:spacing w:before="0" w:beforeAutospacing="0" w:after="0" w:afterAutospacing="0"/>
      </w:pPr>
      <w:r w:rsidRPr="002B7991">
        <w:lastRenderedPageBreak/>
        <w:t>The contractor shall not initiate work under this contract until it has received a notice to proceed in writing from the Contracting Officer.</w:t>
      </w:r>
    </w:p>
    <w:p w14:paraId="629C08B6" w14:textId="77777777" w:rsidR="00406C4B" w:rsidRDefault="00406C4B" w:rsidP="002B2346">
      <w:pPr>
        <w:pStyle w:val="Heading1"/>
        <w:numPr>
          <w:ilvl w:val="0"/>
          <w:numId w:val="0"/>
        </w:numPr>
        <w:spacing w:before="0" w:beforeAutospacing="0" w:after="0" w:afterAutospacing="0"/>
      </w:pPr>
    </w:p>
    <w:p w14:paraId="47B27392" w14:textId="77777777" w:rsidR="00A44FAA" w:rsidRDefault="007B330A" w:rsidP="002B2346">
      <w:pPr>
        <w:pStyle w:val="Heading1"/>
        <w:numPr>
          <w:ilvl w:val="0"/>
          <w:numId w:val="0"/>
        </w:numPr>
        <w:spacing w:before="0" w:beforeAutospacing="0" w:after="0" w:afterAutospacing="0"/>
      </w:pPr>
      <w:r>
        <w:rPr>
          <w:u w:val="none"/>
        </w:rPr>
        <w:t>4</w:t>
      </w:r>
      <w:r w:rsidR="00182FA7" w:rsidRPr="00182FA7">
        <w:rPr>
          <w:u w:val="none"/>
        </w:rPr>
        <w:t>.</w:t>
      </w:r>
      <w:r w:rsidR="00182FA7" w:rsidRPr="00182FA7">
        <w:rPr>
          <w:u w:val="none"/>
        </w:rPr>
        <w:tab/>
      </w:r>
      <w:r w:rsidR="00A44FAA" w:rsidRPr="009C66D8">
        <w:t>Review:</w:t>
      </w:r>
    </w:p>
    <w:p w14:paraId="24087BBC" w14:textId="77777777" w:rsidR="000C1B57" w:rsidRDefault="003A4516" w:rsidP="00D14968">
      <w:pPr>
        <w:pStyle w:val="NormalWeb"/>
        <w:spacing w:before="0" w:beforeAutospacing="0" w:after="0" w:afterAutospacing="0"/>
      </w:pPr>
      <w:r>
        <w:t xml:space="preserve">The submitted report will be subject </w:t>
      </w:r>
      <w:r w:rsidR="00C41991">
        <w:t>to a</w:t>
      </w:r>
      <w:r>
        <w:t xml:space="preserve"> review </w:t>
      </w:r>
      <w:r w:rsidR="00C41991">
        <w:t xml:space="preserve">by a qualified Review Appraiser </w:t>
      </w:r>
      <w:r w:rsidR="000C1B57">
        <w:t xml:space="preserve">for compliance with these instructions and </w:t>
      </w:r>
      <w:r w:rsidR="00C41991">
        <w:t xml:space="preserve">the </w:t>
      </w:r>
      <w:r w:rsidR="000C1B57">
        <w:t xml:space="preserve">cited standards.  Findings of inadequacy </w:t>
      </w:r>
      <w:r>
        <w:t>may</w:t>
      </w:r>
      <w:r w:rsidR="000C1B57">
        <w:t xml:space="preserve"> be </w:t>
      </w:r>
      <w:r>
        <w:t xml:space="preserve">identified </w:t>
      </w:r>
      <w:r w:rsidR="007C3801">
        <w:t xml:space="preserve">by the Review Appraiser </w:t>
      </w:r>
      <w:r w:rsidR="000C1B57">
        <w:t xml:space="preserve">with </w:t>
      </w:r>
      <w:r>
        <w:t>the Contractor for</w:t>
      </w:r>
      <w:r w:rsidR="000C1B57">
        <w:t xml:space="preserve"> </w:t>
      </w:r>
      <w:r>
        <w:t xml:space="preserve">correction within </w:t>
      </w:r>
      <w:r w:rsidR="000C1B57">
        <w:t xml:space="preserve">ten (10) working days </w:t>
      </w:r>
      <w:r w:rsidR="00C41991">
        <w:t>of</w:t>
      </w:r>
      <w:r w:rsidR="000C1B57">
        <w:t xml:space="preserve"> </w:t>
      </w:r>
      <w:r>
        <w:t>the review</w:t>
      </w:r>
      <w:r w:rsidR="000C1B57">
        <w:t xml:space="preserve">.  </w:t>
      </w:r>
      <w:r>
        <w:t>The Contractor</w:t>
      </w:r>
      <w:r w:rsidR="00C41991">
        <w:t xml:space="preserve">’s </w:t>
      </w:r>
      <w:r w:rsidR="000C1B57">
        <w:t xml:space="preserve">value estimate will not be accepted for agency use </w:t>
      </w:r>
      <w:r w:rsidR="00C41991">
        <w:t>without approval</w:t>
      </w:r>
      <w:r w:rsidR="000C1B57">
        <w:t xml:space="preserve"> by a qualified Review Appraiser.</w:t>
      </w:r>
    </w:p>
    <w:p w14:paraId="747FB103" w14:textId="77777777" w:rsidR="00E559AC" w:rsidRDefault="00E559AC" w:rsidP="00D14968">
      <w:pPr>
        <w:pStyle w:val="NormalWeb"/>
        <w:spacing w:before="0" w:beforeAutospacing="0" w:after="0" w:afterAutospacing="0"/>
      </w:pPr>
    </w:p>
    <w:p w14:paraId="61B6B87F" w14:textId="77777777" w:rsidR="00306A41" w:rsidRPr="00306A41" w:rsidRDefault="007B330A" w:rsidP="00182FA7">
      <w:pPr>
        <w:pStyle w:val="Heading1"/>
        <w:numPr>
          <w:ilvl w:val="0"/>
          <w:numId w:val="0"/>
        </w:numPr>
        <w:spacing w:before="0" w:beforeAutospacing="0" w:after="0" w:afterAutospacing="0"/>
      </w:pPr>
      <w:r>
        <w:rPr>
          <w:u w:val="none"/>
        </w:rPr>
        <w:t>5</w:t>
      </w:r>
      <w:r w:rsidR="00182FA7" w:rsidRPr="00182FA7">
        <w:rPr>
          <w:u w:val="none"/>
        </w:rPr>
        <w:t>.</w:t>
      </w:r>
      <w:r w:rsidR="00182FA7" w:rsidRPr="00182FA7">
        <w:rPr>
          <w:u w:val="none"/>
        </w:rPr>
        <w:tab/>
      </w:r>
      <w:r w:rsidR="00306A41" w:rsidRPr="00306A41">
        <w:t>Consideration and Paymen</w:t>
      </w:r>
      <w:r w:rsidR="00306A41">
        <w:t>t:</w:t>
      </w:r>
      <w:r w:rsidR="00306A41" w:rsidRPr="00306A41">
        <w:rPr>
          <w:u w:val="none"/>
        </w:rPr>
        <w:t xml:space="preserve"> </w:t>
      </w:r>
    </w:p>
    <w:p w14:paraId="1E1069DF" w14:textId="77777777" w:rsidR="00306A41" w:rsidRPr="00306A41" w:rsidRDefault="00306A41" w:rsidP="00306A41">
      <w:pPr>
        <w:pStyle w:val="Heading1"/>
        <w:numPr>
          <w:ilvl w:val="0"/>
          <w:numId w:val="0"/>
        </w:numPr>
        <w:spacing w:before="0" w:beforeAutospacing="0" w:after="0" w:afterAutospacing="0"/>
        <w:rPr>
          <w:b w:val="0"/>
        </w:rPr>
      </w:pPr>
      <w:r w:rsidRPr="00306A41">
        <w:rPr>
          <w:b w:val="0"/>
          <w:u w:val="none"/>
        </w:rPr>
        <w:t xml:space="preserve">In consideration of the performance </w:t>
      </w:r>
      <w:r w:rsidR="00182FA7">
        <w:rPr>
          <w:b w:val="0"/>
          <w:u w:val="none"/>
        </w:rPr>
        <w:t>of</w:t>
      </w:r>
      <w:r w:rsidRPr="00306A41">
        <w:rPr>
          <w:b w:val="0"/>
          <w:u w:val="none"/>
        </w:rPr>
        <w:t xml:space="preserve"> the undertaking under this contract, the Contractor shall be paid a sum of &lt;</w:t>
      </w:r>
      <w:r w:rsidRPr="002B2346">
        <w:rPr>
          <w:b w:val="0"/>
          <w:highlight w:val="darkGray"/>
          <w:u w:val="none"/>
        </w:rPr>
        <w:t>Insert Dollar Amount $&gt;</w:t>
      </w:r>
      <w:r w:rsidRPr="00306A41">
        <w:rPr>
          <w:b w:val="0"/>
          <w:u w:val="none"/>
        </w:rPr>
        <w:t xml:space="preserve"> which shall include all cost for supplies, materials, and equipment, travel and all other expenses incident to the preparation and delivery of the report. </w:t>
      </w:r>
      <w:r w:rsidR="00A44FAA" w:rsidRPr="002B2346">
        <w:rPr>
          <w:b w:val="0"/>
          <w:u w:val="none"/>
        </w:rPr>
        <w:t>Payment shall become due after review and approval of the report and submission of properly certified invoice.</w:t>
      </w:r>
      <w:r w:rsidRPr="00306A41">
        <w:rPr>
          <w:b w:val="0"/>
          <w:u w:val="none"/>
        </w:rPr>
        <w:t xml:space="preserve">  </w:t>
      </w:r>
    </w:p>
    <w:p w14:paraId="76BA4AC1" w14:textId="77777777" w:rsidR="00BB0C22" w:rsidRDefault="00BB0C22" w:rsidP="00BB0C22">
      <w:pPr>
        <w:pStyle w:val="ListParagraph"/>
        <w:autoSpaceDE w:val="0"/>
        <w:autoSpaceDN w:val="0"/>
        <w:adjustRightInd w:val="0"/>
        <w:spacing w:before="18" w:line="260" w:lineRule="exact"/>
        <w:ind w:left="0"/>
        <w:rPr>
          <w:rFonts w:ascii="Times New Roman" w:hAnsi="Times New Roman"/>
          <w:spacing w:val="-4"/>
          <w:sz w:val="24"/>
          <w:szCs w:val="24"/>
          <w:u w:val="single"/>
        </w:rPr>
      </w:pPr>
    </w:p>
    <w:p w14:paraId="63D2B789" w14:textId="77777777" w:rsidR="00182FA7" w:rsidRDefault="007B330A" w:rsidP="00AF0198">
      <w:pPr>
        <w:pStyle w:val="ListParagraph"/>
        <w:autoSpaceDE w:val="0"/>
        <w:autoSpaceDN w:val="0"/>
        <w:adjustRightInd w:val="0"/>
        <w:spacing w:before="18" w:line="260" w:lineRule="exact"/>
        <w:ind w:left="0"/>
        <w:rPr>
          <w:rFonts w:ascii="Times New Roman" w:hAnsi="Times New Roman"/>
          <w:sz w:val="24"/>
          <w:szCs w:val="24"/>
        </w:rPr>
      </w:pPr>
      <w:r>
        <w:rPr>
          <w:rFonts w:ascii="Times New Roman" w:hAnsi="Times New Roman"/>
          <w:b/>
          <w:spacing w:val="-4"/>
          <w:sz w:val="24"/>
          <w:szCs w:val="24"/>
        </w:rPr>
        <w:t>6</w:t>
      </w:r>
      <w:r w:rsidR="00AF0198" w:rsidRPr="00AF0198">
        <w:rPr>
          <w:rFonts w:ascii="Times New Roman" w:hAnsi="Times New Roman"/>
          <w:b/>
          <w:spacing w:val="-4"/>
          <w:sz w:val="24"/>
          <w:szCs w:val="24"/>
        </w:rPr>
        <w:t xml:space="preserve">. </w:t>
      </w:r>
      <w:r w:rsidR="00AF0198" w:rsidRPr="00AF0198">
        <w:rPr>
          <w:rFonts w:ascii="Times New Roman" w:hAnsi="Times New Roman"/>
          <w:b/>
          <w:spacing w:val="-4"/>
          <w:sz w:val="24"/>
          <w:szCs w:val="24"/>
        </w:rPr>
        <w:tab/>
      </w:r>
      <w:r w:rsidR="00BB0C22" w:rsidRPr="00AF0198">
        <w:rPr>
          <w:rFonts w:ascii="Times New Roman" w:hAnsi="Times New Roman"/>
          <w:b/>
          <w:spacing w:val="-4"/>
          <w:sz w:val="24"/>
          <w:szCs w:val="24"/>
          <w:u w:val="single"/>
        </w:rPr>
        <w:t>I</w:t>
      </w:r>
      <w:r w:rsidR="00BB0C22" w:rsidRPr="00AF0198">
        <w:rPr>
          <w:rFonts w:ascii="Times New Roman" w:hAnsi="Times New Roman"/>
          <w:b/>
          <w:spacing w:val="2"/>
          <w:sz w:val="24"/>
          <w:szCs w:val="24"/>
          <w:u w:val="single"/>
        </w:rPr>
        <w:t>n</w:t>
      </w:r>
      <w:r w:rsidR="00BB0C22" w:rsidRPr="00AF0198">
        <w:rPr>
          <w:rFonts w:ascii="Times New Roman" w:hAnsi="Times New Roman"/>
          <w:b/>
          <w:spacing w:val="-2"/>
          <w:sz w:val="24"/>
          <w:szCs w:val="24"/>
          <w:u w:val="single"/>
        </w:rPr>
        <w:t>v</w:t>
      </w:r>
      <w:r w:rsidR="00BB0C22" w:rsidRPr="00AF0198">
        <w:rPr>
          <w:rFonts w:ascii="Times New Roman" w:hAnsi="Times New Roman"/>
          <w:b/>
          <w:sz w:val="24"/>
          <w:szCs w:val="24"/>
          <w:u w:val="single"/>
        </w:rPr>
        <w:t>o</w:t>
      </w:r>
      <w:r w:rsidR="00BB0C22" w:rsidRPr="00AF0198">
        <w:rPr>
          <w:rFonts w:ascii="Times New Roman" w:hAnsi="Times New Roman"/>
          <w:b/>
          <w:spacing w:val="1"/>
          <w:sz w:val="24"/>
          <w:szCs w:val="24"/>
          <w:u w:val="single"/>
        </w:rPr>
        <w:t>i</w:t>
      </w:r>
      <w:r w:rsidR="00BB0C22" w:rsidRPr="00AF0198">
        <w:rPr>
          <w:rFonts w:ascii="Times New Roman" w:hAnsi="Times New Roman"/>
          <w:b/>
          <w:sz w:val="24"/>
          <w:szCs w:val="24"/>
          <w:u w:val="single"/>
        </w:rPr>
        <w:t>ce</w:t>
      </w:r>
      <w:r w:rsidR="00BB0C22" w:rsidRPr="00AF0198">
        <w:rPr>
          <w:rFonts w:ascii="Times New Roman" w:hAnsi="Times New Roman"/>
          <w:b/>
          <w:spacing w:val="1"/>
          <w:sz w:val="24"/>
          <w:szCs w:val="24"/>
          <w:u w:val="single"/>
        </w:rPr>
        <w:t>s</w:t>
      </w:r>
      <w:r w:rsidR="00182FA7">
        <w:rPr>
          <w:rFonts w:ascii="Times New Roman" w:hAnsi="Times New Roman"/>
          <w:sz w:val="24"/>
          <w:szCs w:val="24"/>
        </w:rPr>
        <w:t>:</w:t>
      </w:r>
      <w:r w:rsidR="00BB0C22" w:rsidRPr="00675AA5">
        <w:rPr>
          <w:rFonts w:ascii="Times New Roman" w:hAnsi="Times New Roman"/>
          <w:sz w:val="24"/>
          <w:szCs w:val="24"/>
        </w:rPr>
        <w:t xml:space="preserve"> </w:t>
      </w:r>
    </w:p>
    <w:p w14:paraId="25D7F27D" w14:textId="0E13290B" w:rsidR="00BB0C22" w:rsidRPr="00AF0198" w:rsidRDefault="00BB0C22" w:rsidP="00AF0198">
      <w:pPr>
        <w:pStyle w:val="ListParagraph"/>
        <w:autoSpaceDE w:val="0"/>
        <w:autoSpaceDN w:val="0"/>
        <w:adjustRightInd w:val="0"/>
        <w:spacing w:before="18" w:line="260" w:lineRule="exact"/>
        <w:ind w:left="0"/>
        <w:rPr>
          <w:rFonts w:ascii="Times New Roman" w:hAnsi="Times New Roman"/>
          <w:sz w:val="24"/>
          <w:szCs w:val="24"/>
        </w:rPr>
      </w:pPr>
      <w:r w:rsidRPr="00675AA5">
        <w:rPr>
          <w:rFonts w:ascii="Times New Roman" w:hAnsi="Times New Roman"/>
          <w:spacing w:val="2"/>
          <w:sz w:val="24"/>
          <w:szCs w:val="24"/>
        </w:rPr>
        <w:t>T</w:t>
      </w:r>
      <w:r w:rsidRPr="00675AA5">
        <w:rPr>
          <w:rFonts w:ascii="Times New Roman" w:hAnsi="Times New Roman"/>
          <w:sz w:val="24"/>
          <w:szCs w:val="24"/>
        </w:rPr>
        <w:t>he</w:t>
      </w:r>
      <w:r w:rsidRPr="00675AA5">
        <w:rPr>
          <w:rFonts w:ascii="Times New Roman" w:hAnsi="Times New Roman"/>
          <w:spacing w:val="-2"/>
          <w:sz w:val="24"/>
          <w:szCs w:val="24"/>
        </w:rPr>
        <w:t xml:space="preserve"> </w:t>
      </w:r>
      <w:r w:rsidRPr="00675AA5">
        <w:rPr>
          <w:rFonts w:ascii="Times New Roman" w:hAnsi="Times New Roman"/>
          <w:sz w:val="24"/>
          <w:szCs w:val="24"/>
        </w:rPr>
        <w:t>Contractor</w:t>
      </w:r>
      <w:r w:rsidRPr="00675AA5">
        <w:rPr>
          <w:rFonts w:ascii="Times New Roman" w:hAnsi="Times New Roman"/>
          <w:spacing w:val="1"/>
          <w:sz w:val="24"/>
          <w:szCs w:val="24"/>
        </w:rPr>
        <w:t>’</w:t>
      </w:r>
      <w:r w:rsidRPr="00675AA5">
        <w:rPr>
          <w:rFonts w:ascii="Times New Roman" w:hAnsi="Times New Roman"/>
          <w:sz w:val="24"/>
          <w:szCs w:val="24"/>
        </w:rPr>
        <w:t>s</w:t>
      </w:r>
      <w:r w:rsidRPr="00675AA5">
        <w:rPr>
          <w:rFonts w:ascii="Times New Roman" w:hAnsi="Times New Roman"/>
          <w:spacing w:val="-2"/>
          <w:sz w:val="24"/>
          <w:szCs w:val="24"/>
        </w:rPr>
        <w:t xml:space="preserve"> </w:t>
      </w:r>
      <w:r w:rsidRPr="00675AA5">
        <w:rPr>
          <w:rFonts w:ascii="Times New Roman" w:hAnsi="Times New Roman"/>
          <w:spacing w:val="1"/>
          <w:sz w:val="24"/>
          <w:szCs w:val="24"/>
        </w:rPr>
        <w:t>i</w:t>
      </w:r>
      <w:r w:rsidRPr="00675AA5">
        <w:rPr>
          <w:rFonts w:ascii="Times New Roman" w:hAnsi="Times New Roman"/>
          <w:sz w:val="24"/>
          <w:szCs w:val="24"/>
        </w:rPr>
        <w:t>n</w:t>
      </w:r>
      <w:r w:rsidRPr="00675AA5">
        <w:rPr>
          <w:rFonts w:ascii="Times New Roman" w:hAnsi="Times New Roman"/>
          <w:spacing w:val="-2"/>
          <w:sz w:val="24"/>
          <w:szCs w:val="24"/>
        </w:rPr>
        <w:t>v</w:t>
      </w:r>
      <w:r w:rsidRPr="00675AA5">
        <w:rPr>
          <w:rFonts w:ascii="Times New Roman" w:hAnsi="Times New Roman"/>
          <w:sz w:val="24"/>
          <w:szCs w:val="24"/>
        </w:rPr>
        <w:t>o</w:t>
      </w:r>
      <w:r w:rsidRPr="00675AA5">
        <w:rPr>
          <w:rFonts w:ascii="Times New Roman" w:hAnsi="Times New Roman"/>
          <w:spacing w:val="1"/>
          <w:sz w:val="24"/>
          <w:szCs w:val="24"/>
        </w:rPr>
        <w:t>i</w:t>
      </w:r>
      <w:r w:rsidRPr="00675AA5">
        <w:rPr>
          <w:rFonts w:ascii="Times New Roman" w:hAnsi="Times New Roman"/>
          <w:spacing w:val="-2"/>
          <w:sz w:val="24"/>
          <w:szCs w:val="24"/>
        </w:rPr>
        <w:t>c</w:t>
      </w:r>
      <w:r w:rsidRPr="00675AA5">
        <w:rPr>
          <w:rFonts w:ascii="Times New Roman" w:hAnsi="Times New Roman"/>
          <w:sz w:val="24"/>
          <w:szCs w:val="24"/>
        </w:rPr>
        <w:t xml:space="preserve">e </w:t>
      </w:r>
      <w:r w:rsidRPr="00675AA5">
        <w:rPr>
          <w:rFonts w:ascii="Times New Roman" w:hAnsi="Times New Roman"/>
          <w:spacing w:val="1"/>
          <w:sz w:val="24"/>
          <w:szCs w:val="24"/>
        </w:rPr>
        <w:t>s</w:t>
      </w:r>
      <w:r w:rsidRPr="00675AA5">
        <w:rPr>
          <w:rFonts w:ascii="Times New Roman" w:hAnsi="Times New Roman"/>
          <w:sz w:val="24"/>
          <w:szCs w:val="24"/>
        </w:rPr>
        <w:t>h</w:t>
      </w:r>
      <w:r w:rsidRPr="00675AA5">
        <w:rPr>
          <w:rFonts w:ascii="Times New Roman" w:hAnsi="Times New Roman"/>
          <w:spacing w:val="-2"/>
          <w:sz w:val="24"/>
          <w:szCs w:val="24"/>
        </w:rPr>
        <w:t>a</w:t>
      </w:r>
      <w:r w:rsidRPr="00675AA5">
        <w:rPr>
          <w:rFonts w:ascii="Times New Roman" w:hAnsi="Times New Roman"/>
          <w:spacing w:val="1"/>
          <w:sz w:val="24"/>
          <w:szCs w:val="24"/>
        </w:rPr>
        <w:t>l</w:t>
      </w:r>
      <w:r w:rsidRPr="00675AA5">
        <w:rPr>
          <w:rFonts w:ascii="Times New Roman" w:hAnsi="Times New Roman"/>
          <w:sz w:val="24"/>
          <w:szCs w:val="24"/>
        </w:rPr>
        <w:t>l</w:t>
      </w:r>
      <w:r w:rsidRPr="00675AA5">
        <w:rPr>
          <w:rFonts w:ascii="Times New Roman" w:hAnsi="Times New Roman"/>
          <w:spacing w:val="-1"/>
          <w:sz w:val="24"/>
          <w:szCs w:val="24"/>
        </w:rPr>
        <w:t xml:space="preserve"> </w:t>
      </w:r>
      <w:r w:rsidRPr="00675AA5">
        <w:rPr>
          <w:rFonts w:ascii="Times New Roman" w:hAnsi="Times New Roman"/>
          <w:spacing w:val="1"/>
          <w:sz w:val="24"/>
          <w:szCs w:val="24"/>
        </w:rPr>
        <w:t>i</w:t>
      </w:r>
      <w:r w:rsidRPr="00675AA5">
        <w:rPr>
          <w:rFonts w:ascii="Times New Roman" w:hAnsi="Times New Roman"/>
          <w:sz w:val="24"/>
          <w:szCs w:val="24"/>
        </w:rPr>
        <w:t>n</w:t>
      </w:r>
      <w:r w:rsidRPr="00675AA5">
        <w:rPr>
          <w:rFonts w:ascii="Times New Roman" w:hAnsi="Times New Roman"/>
          <w:spacing w:val="-2"/>
          <w:sz w:val="24"/>
          <w:szCs w:val="24"/>
        </w:rPr>
        <w:t>c</w:t>
      </w:r>
      <w:r w:rsidRPr="00675AA5">
        <w:rPr>
          <w:rFonts w:ascii="Times New Roman" w:hAnsi="Times New Roman"/>
          <w:spacing w:val="1"/>
          <w:sz w:val="24"/>
          <w:szCs w:val="24"/>
        </w:rPr>
        <w:t>l</w:t>
      </w:r>
      <w:r w:rsidRPr="00675AA5">
        <w:rPr>
          <w:rFonts w:ascii="Times New Roman" w:hAnsi="Times New Roman"/>
          <w:sz w:val="24"/>
          <w:szCs w:val="24"/>
        </w:rPr>
        <w:t>ude</w:t>
      </w:r>
      <w:r w:rsidRPr="00675AA5">
        <w:rPr>
          <w:rFonts w:ascii="Times New Roman" w:hAnsi="Times New Roman"/>
          <w:spacing w:val="-2"/>
          <w:sz w:val="24"/>
          <w:szCs w:val="24"/>
        </w:rPr>
        <w:t xml:space="preserve"> </w:t>
      </w:r>
      <w:r w:rsidRPr="00675AA5">
        <w:rPr>
          <w:rFonts w:ascii="Times New Roman" w:hAnsi="Times New Roman"/>
          <w:spacing w:val="1"/>
          <w:sz w:val="24"/>
          <w:szCs w:val="24"/>
        </w:rPr>
        <w:t>t</w:t>
      </w:r>
      <w:r w:rsidRPr="00675AA5">
        <w:rPr>
          <w:rFonts w:ascii="Times New Roman" w:hAnsi="Times New Roman"/>
          <w:sz w:val="24"/>
          <w:szCs w:val="24"/>
        </w:rPr>
        <w:t>he</w:t>
      </w:r>
      <w:r w:rsidRPr="00675AA5">
        <w:rPr>
          <w:rFonts w:ascii="Times New Roman" w:hAnsi="Times New Roman"/>
          <w:spacing w:val="-2"/>
          <w:sz w:val="24"/>
          <w:szCs w:val="24"/>
        </w:rPr>
        <w:t xml:space="preserve"> </w:t>
      </w:r>
      <w:r w:rsidRPr="00675AA5">
        <w:rPr>
          <w:rFonts w:ascii="Times New Roman" w:hAnsi="Times New Roman"/>
          <w:sz w:val="24"/>
          <w:szCs w:val="24"/>
        </w:rPr>
        <w:t>p</w:t>
      </w:r>
      <w:r w:rsidRPr="00675AA5">
        <w:rPr>
          <w:rFonts w:ascii="Times New Roman" w:hAnsi="Times New Roman"/>
          <w:spacing w:val="1"/>
          <w:sz w:val="24"/>
          <w:szCs w:val="24"/>
        </w:rPr>
        <w:t>r</w:t>
      </w:r>
      <w:r w:rsidRPr="00675AA5">
        <w:rPr>
          <w:rFonts w:ascii="Times New Roman" w:hAnsi="Times New Roman"/>
          <w:spacing w:val="-2"/>
          <w:sz w:val="24"/>
          <w:szCs w:val="24"/>
        </w:rPr>
        <w:t>o</w:t>
      </w:r>
      <w:r w:rsidRPr="00675AA5">
        <w:rPr>
          <w:rFonts w:ascii="Times New Roman" w:hAnsi="Times New Roman"/>
          <w:spacing w:val="1"/>
          <w:sz w:val="24"/>
          <w:szCs w:val="24"/>
        </w:rPr>
        <w:t>j</w:t>
      </w:r>
      <w:r w:rsidRPr="00675AA5">
        <w:rPr>
          <w:rFonts w:ascii="Times New Roman" w:hAnsi="Times New Roman"/>
          <w:sz w:val="24"/>
          <w:szCs w:val="24"/>
        </w:rPr>
        <w:t>e</w:t>
      </w:r>
      <w:r w:rsidRPr="00675AA5">
        <w:rPr>
          <w:rFonts w:ascii="Times New Roman" w:hAnsi="Times New Roman"/>
          <w:spacing w:val="-2"/>
          <w:sz w:val="24"/>
          <w:szCs w:val="24"/>
        </w:rPr>
        <w:t>c</w:t>
      </w:r>
      <w:r w:rsidRPr="00675AA5">
        <w:rPr>
          <w:rFonts w:ascii="Times New Roman" w:hAnsi="Times New Roman"/>
          <w:sz w:val="24"/>
          <w:szCs w:val="24"/>
        </w:rPr>
        <w:t>t</w:t>
      </w:r>
      <w:r w:rsidRPr="00675AA5">
        <w:rPr>
          <w:rFonts w:ascii="Times New Roman" w:hAnsi="Times New Roman"/>
          <w:spacing w:val="-1"/>
          <w:sz w:val="24"/>
          <w:szCs w:val="24"/>
        </w:rPr>
        <w:t xml:space="preserve"> </w:t>
      </w:r>
      <w:r w:rsidRPr="00675AA5">
        <w:rPr>
          <w:rFonts w:ascii="Times New Roman" w:hAnsi="Times New Roman"/>
          <w:spacing w:val="1"/>
          <w:sz w:val="24"/>
          <w:szCs w:val="24"/>
        </w:rPr>
        <w:t>t</w:t>
      </w:r>
      <w:r w:rsidRPr="00675AA5">
        <w:rPr>
          <w:rFonts w:ascii="Times New Roman" w:hAnsi="Times New Roman"/>
          <w:spacing w:val="-1"/>
          <w:sz w:val="24"/>
          <w:szCs w:val="24"/>
        </w:rPr>
        <w:t>i</w:t>
      </w:r>
      <w:r w:rsidRPr="00675AA5">
        <w:rPr>
          <w:rFonts w:ascii="Times New Roman" w:hAnsi="Times New Roman"/>
          <w:spacing w:val="1"/>
          <w:sz w:val="24"/>
          <w:szCs w:val="24"/>
        </w:rPr>
        <w:t>tl</w:t>
      </w:r>
      <w:r w:rsidRPr="00675AA5">
        <w:rPr>
          <w:rFonts w:ascii="Times New Roman" w:hAnsi="Times New Roman"/>
          <w:spacing w:val="-2"/>
          <w:sz w:val="24"/>
          <w:szCs w:val="24"/>
        </w:rPr>
        <w:t>e</w:t>
      </w:r>
      <w:r w:rsidRPr="00675AA5">
        <w:rPr>
          <w:rFonts w:ascii="Times New Roman" w:hAnsi="Times New Roman"/>
          <w:sz w:val="24"/>
          <w:szCs w:val="24"/>
        </w:rPr>
        <w:t>,</w:t>
      </w:r>
      <w:r w:rsidRPr="00675AA5">
        <w:rPr>
          <w:rFonts w:ascii="Times New Roman" w:hAnsi="Times New Roman"/>
          <w:spacing w:val="-2"/>
          <w:sz w:val="24"/>
          <w:szCs w:val="24"/>
        </w:rPr>
        <w:t xml:space="preserve"> </w:t>
      </w:r>
      <w:r w:rsidRPr="00675AA5">
        <w:rPr>
          <w:rFonts w:ascii="Times New Roman" w:hAnsi="Times New Roman"/>
          <w:spacing w:val="-1"/>
          <w:sz w:val="24"/>
          <w:szCs w:val="24"/>
        </w:rPr>
        <w:t>G</w:t>
      </w:r>
      <w:r w:rsidRPr="00675AA5">
        <w:rPr>
          <w:rFonts w:ascii="Times New Roman" w:hAnsi="Times New Roman"/>
          <w:sz w:val="24"/>
          <w:szCs w:val="24"/>
        </w:rPr>
        <w:t>o</w:t>
      </w:r>
      <w:r w:rsidRPr="00675AA5">
        <w:rPr>
          <w:rFonts w:ascii="Times New Roman" w:hAnsi="Times New Roman"/>
          <w:spacing w:val="-2"/>
          <w:sz w:val="24"/>
          <w:szCs w:val="24"/>
        </w:rPr>
        <w:t>v</w:t>
      </w:r>
      <w:r w:rsidRPr="00675AA5">
        <w:rPr>
          <w:rFonts w:ascii="Times New Roman" w:hAnsi="Times New Roman"/>
          <w:sz w:val="24"/>
          <w:szCs w:val="24"/>
        </w:rPr>
        <w:t>e</w:t>
      </w:r>
      <w:r w:rsidRPr="00675AA5">
        <w:rPr>
          <w:rFonts w:ascii="Times New Roman" w:hAnsi="Times New Roman"/>
          <w:spacing w:val="1"/>
          <w:sz w:val="24"/>
          <w:szCs w:val="24"/>
        </w:rPr>
        <w:t>r</w:t>
      </w:r>
      <w:r w:rsidRPr="00675AA5">
        <w:rPr>
          <w:rFonts w:ascii="Times New Roman" w:hAnsi="Times New Roman"/>
          <w:sz w:val="24"/>
          <w:szCs w:val="24"/>
        </w:rPr>
        <w:t>n</w:t>
      </w:r>
      <w:r w:rsidRPr="00675AA5">
        <w:rPr>
          <w:rFonts w:ascii="Times New Roman" w:hAnsi="Times New Roman"/>
          <w:spacing w:val="-4"/>
          <w:sz w:val="24"/>
          <w:szCs w:val="24"/>
        </w:rPr>
        <w:t>m</w:t>
      </w:r>
      <w:r w:rsidRPr="00675AA5">
        <w:rPr>
          <w:rFonts w:ascii="Times New Roman" w:hAnsi="Times New Roman"/>
          <w:sz w:val="24"/>
          <w:szCs w:val="24"/>
        </w:rPr>
        <w:t>ent</w:t>
      </w:r>
      <w:r w:rsidRPr="00675AA5">
        <w:rPr>
          <w:rFonts w:ascii="Times New Roman" w:hAnsi="Times New Roman"/>
          <w:spacing w:val="1"/>
          <w:sz w:val="24"/>
          <w:szCs w:val="24"/>
        </w:rPr>
        <w:t xml:space="preserve"> </w:t>
      </w:r>
      <w:r w:rsidRPr="00675AA5">
        <w:rPr>
          <w:rFonts w:ascii="Times New Roman" w:hAnsi="Times New Roman"/>
          <w:sz w:val="24"/>
          <w:szCs w:val="24"/>
        </w:rPr>
        <w:t>con</w:t>
      </w:r>
      <w:r w:rsidRPr="00675AA5">
        <w:rPr>
          <w:rFonts w:ascii="Times New Roman" w:hAnsi="Times New Roman"/>
          <w:spacing w:val="1"/>
          <w:sz w:val="24"/>
          <w:szCs w:val="24"/>
        </w:rPr>
        <w:t>t</w:t>
      </w:r>
      <w:r w:rsidRPr="00675AA5">
        <w:rPr>
          <w:rFonts w:ascii="Times New Roman" w:hAnsi="Times New Roman"/>
          <w:spacing w:val="-2"/>
          <w:sz w:val="24"/>
          <w:szCs w:val="24"/>
        </w:rPr>
        <w:t>r</w:t>
      </w:r>
      <w:r w:rsidRPr="00675AA5">
        <w:rPr>
          <w:rFonts w:ascii="Times New Roman" w:hAnsi="Times New Roman"/>
          <w:sz w:val="24"/>
          <w:szCs w:val="24"/>
        </w:rPr>
        <w:t>a</w:t>
      </w:r>
      <w:r w:rsidRPr="00675AA5">
        <w:rPr>
          <w:rFonts w:ascii="Times New Roman" w:hAnsi="Times New Roman"/>
          <w:spacing w:val="-2"/>
          <w:sz w:val="24"/>
          <w:szCs w:val="24"/>
        </w:rPr>
        <w:t>c</w:t>
      </w:r>
      <w:r w:rsidRPr="00675AA5">
        <w:rPr>
          <w:rFonts w:ascii="Times New Roman" w:hAnsi="Times New Roman"/>
          <w:sz w:val="24"/>
          <w:szCs w:val="24"/>
        </w:rPr>
        <w:t>t</w:t>
      </w:r>
      <w:r w:rsidRPr="00675AA5">
        <w:rPr>
          <w:rFonts w:ascii="Times New Roman" w:hAnsi="Times New Roman"/>
          <w:spacing w:val="1"/>
          <w:sz w:val="24"/>
          <w:szCs w:val="24"/>
        </w:rPr>
        <w:t xml:space="preserve"> </w:t>
      </w:r>
      <w:r w:rsidRPr="00675AA5">
        <w:rPr>
          <w:rFonts w:ascii="Times New Roman" w:hAnsi="Times New Roman"/>
          <w:sz w:val="24"/>
          <w:szCs w:val="24"/>
        </w:rPr>
        <w:t>nu</w:t>
      </w:r>
      <w:r w:rsidRPr="00675AA5">
        <w:rPr>
          <w:rFonts w:ascii="Times New Roman" w:hAnsi="Times New Roman"/>
          <w:spacing w:val="-4"/>
          <w:sz w:val="24"/>
          <w:szCs w:val="24"/>
        </w:rPr>
        <w:t>m</w:t>
      </w:r>
      <w:r w:rsidRPr="00675AA5">
        <w:rPr>
          <w:rFonts w:ascii="Times New Roman" w:hAnsi="Times New Roman"/>
          <w:sz w:val="24"/>
          <w:szCs w:val="24"/>
        </w:rPr>
        <w:t>be</w:t>
      </w:r>
      <w:r w:rsidRPr="00675AA5">
        <w:rPr>
          <w:rFonts w:ascii="Times New Roman" w:hAnsi="Times New Roman"/>
          <w:spacing w:val="1"/>
          <w:sz w:val="24"/>
          <w:szCs w:val="24"/>
        </w:rPr>
        <w:t>r</w:t>
      </w:r>
      <w:r w:rsidRPr="00675AA5">
        <w:rPr>
          <w:rFonts w:ascii="Times New Roman" w:hAnsi="Times New Roman"/>
          <w:sz w:val="24"/>
          <w:szCs w:val="24"/>
        </w:rPr>
        <w:t>, d</w:t>
      </w:r>
      <w:r w:rsidRPr="00675AA5">
        <w:rPr>
          <w:rFonts w:ascii="Times New Roman" w:hAnsi="Times New Roman"/>
          <w:spacing w:val="-2"/>
          <w:sz w:val="24"/>
          <w:szCs w:val="24"/>
        </w:rPr>
        <w:t>e</w:t>
      </w:r>
      <w:r w:rsidRPr="00675AA5">
        <w:rPr>
          <w:rFonts w:ascii="Times New Roman" w:hAnsi="Times New Roman"/>
          <w:sz w:val="24"/>
          <w:szCs w:val="24"/>
        </w:rPr>
        <w:t>s</w:t>
      </w:r>
      <w:r w:rsidRPr="00675AA5">
        <w:rPr>
          <w:rFonts w:ascii="Times New Roman" w:hAnsi="Times New Roman"/>
          <w:spacing w:val="-2"/>
          <w:sz w:val="24"/>
          <w:szCs w:val="24"/>
        </w:rPr>
        <w:t>c</w:t>
      </w:r>
      <w:r w:rsidRPr="00675AA5">
        <w:rPr>
          <w:rFonts w:ascii="Times New Roman" w:hAnsi="Times New Roman"/>
          <w:spacing w:val="1"/>
          <w:sz w:val="24"/>
          <w:szCs w:val="24"/>
        </w:rPr>
        <w:t>ri</w:t>
      </w:r>
      <w:r w:rsidRPr="00675AA5">
        <w:rPr>
          <w:rFonts w:ascii="Times New Roman" w:hAnsi="Times New Roman"/>
          <w:spacing w:val="-2"/>
          <w:sz w:val="24"/>
          <w:szCs w:val="24"/>
        </w:rPr>
        <w:t>p</w:t>
      </w:r>
      <w:r w:rsidRPr="00675AA5">
        <w:rPr>
          <w:rFonts w:ascii="Times New Roman" w:hAnsi="Times New Roman"/>
          <w:spacing w:val="1"/>
          <w:sz w:val="24"/>
          <w:szCs w:val="24"/>
        </w:rPr>
        <w:t>ti</w:t>
      </w:r>
      <w:r w:rsidRPr="00675AA5">
        <w:rPr>
          <w:rFonts w:ascii="Times New Roman" w:hAnsi="Times New Roman"/>
          <w:spacing w:val="-2"/>
          <w:sz w:val="24"/>
          <w:szCs w:val="24"/>
        </w:rPr>
        <w:t>o</w:t>
      </w:r>
      <w:r w:rsidRPr="00675AA5">
        <w:rPr>
          <w:rFonts w:ascii="Times New Roman" w:hAnsi="Times New Roman"/>
          <w:sz w:val="24"/>
          <w:szCs w:val="24"/>
        </w:rPr>
        <w:t>n of</w:t>
      </w:r>
      <w:r w:rsidRPr="00675AA5">
        <w:rPr>
          <w:rFonts w:ascii="Times New Roman" w:hAnsi="Times New Roman"/>
          <w:spacing w:val="-2"/>
          <w:sz w:val="24"/>
          <w:szCs w:val="24"/>
        </w:rPr>
        <w:t xml:space="preserve"> </w:t>
      </w:r>
      <w:r w:rsidRPr="00675AA5">
        <w:rPr>
          <w:rFonts w:ascii="Times New Roman" w:hAnsi="Times New Roman"/>
          <w:spacing w:val="1"/>
          <w:sz w:val="24"/>
          <w:szCs w:val="24"/>
        </w:rPr>
        <w:t>t</w:t>
      </w:r>
      <w:r w:rsidRPr="00675AA5">
        <w:rPr>
          <w:rFonts w:ascii="Times New Roman" w:hAnsi="Times New Roman"/>
          <w:sz w:val="24"/>
          <w:szCs w:val="24"/>
        </w:rPr>
        <w:t>he s</w:t>
      </w:r>
      <w:r w:rsidRPr="00675AA5">
        <w:rPr>
          <w:rFonts w:ascii="Times New Roman" w:hAnsi="Times New Roman"/>
          <w:spacing w:val="1"/>
          <w:sz w:val="24"/>
          <w:szCs w:val="24"/>
        </w:rPr>
        <w:t>er</w:t>
      </w:r>
      <w:r w:rsidRPr="00675AA5">
        <w:rPr>
          <w:rFonts w:ascii="Times New Roman" w:hAnsi="Times New Roman"/>
          <w:spacing w:val="-2"/>
          <w:sz w:val="24"/>
          <w:szCs w:val="24"/>
        </w:rPr>
        <w:t>v</w:t>
      </w:r>
      <w:r w:rsidRPr="00675AA5">
        <w:rPr>
          <w:rFonts w:ascii="Times New Roman" w:hAnsi="Times New Roman"/>
          <w:spacing w:val="1"/>
          <w:sz w:val="24"/>
          <w:szCs w:val="24"/>
        </w:rPr>
        <w:t>i</w:t>
      </w:r>
      <w:r w:rsidRPr="00675AA5">
        <w:rPr>
          <w:rFonts w:ascii="Times New Roman" w:hAnsi="Times New Roman"/>
          <w:sz w:val="24"/>
          <w:szCs w:val="24"/>
        </w:rPr>
        <w:t>c</w:t>
      </w:r>
      <w:r w:rsidRPr="00675AA5">
        <w:rPr>
          <w:rFonts w:ascii="Times New Roman" w:hAnsi="Times New Roman"/>
          <w:spacing w:val="-2"/>
          <w:sz w:val="24"/>
          <w:szCs w:val="24"/>
        </w:rPr>
        <w:t>e</w:t>
      </w:r>
      <w:r w:rsidRPr="00675AA5">
        <w:rPr>
          <w:rFonts w:ascii="Times New Roman" w:hAnsi="Times New Roman"/>
          <w:sz w:val="24"/>
          <w:szCs w:val="24"/>
        </w:rPr>
        <w:t xml:space="preserve">s </w:t>
      </w:r>
      <w:r w:rsidRPr="00675AA5">
        <w:rPr>
          <w:rFonts w:ascii="Times New Roman" w:hAnsi="Times New Roman"/>
          <w:spacing w:val="-1"/>
          <w:sz w:val="24"/>
          <w:szCs w:val="24"/>
        </w:rPr>
        <w:t>r</w:t>
      </w:r>
      <w:r w:rsidRPr="00675AA5">
        <w:rPr>
          <w:rFonts w:ascii="Times New Roman" w:hAnsi="Times New Roman"/>
          <w:sz w:val="24"/>
          <w:szCs w:val="24"/>
        </w:rPr>
        <w:t>end</w:t>
      </w:r>
      <w:r w:rsidRPr="00675AA5">
        <w:rPr>
          <w:rFonts w:ascii="Times New Roman" w:hAnsi="Times New Roman"/>
          <w:spacing w:val="-2"/>
          <w:sz w:val="24"/>
          <w:szCs w:val="24"/>
        </w:rPr>
        <w:t>e</w:t>
      </w:r>
      <w:r w:rsidRPr="00675AA5">
        <w:rPr>
          <w:rFonts w:ascii="Times New Roman" w:hAnsi="Times New Roman"/>
          <w:spacing w:val="1"/>
          <w:sz w:val="24"/>
          <w:szCs w:val="24"/>
        </w:rPr>
        <w:t>r</w:t>
      </w:r>
      <w:r w:rsidRPr="00675AA5">
        <w:rPr>
          <w:rFonts w:ascii="Times New Roman" w:hAnsi="Times New Roman"/>
          <w:sz w:val="24"/>
          <w:szCs w:val="24"/>
        </w:rPr>
        <w:t>ed,</w:t>
      </w:r>
      <w:r w:rsidRPr="00675AA5">
        <w:rPr>
          <w:rFonts w:ascii="Times New Roman" w:hAnsi="Times New Roman"/>
          <w:spacing w:val="-2"/>
          <w:sz w:val="24"/>
          <w:szCs w:val="24"/>
        </w:rPr>
        <w:t xml:space="preserve"> </w:t>
      </w:r>
      <w:r w:rsidRPr="00675AA5">
        <w:rPr>
          <w:rFonts w:ascii="Times New Roman" w:hAnsi="Times New Roman"/>
          <w:sz w:val="24"/>
          <w:szCs w:val="24"/>
        </w:rPr>
        <w:t>nu</w:t>
      </w:r>
      <w:r w:rsidRPr="00675AA5">
        <w:rPr>
          <w:rFonts w:ascii="Times New Roman" w:hAnsi="Times New Roman"/>
          <w:spacing w:val="-4"/>
          <w:sz w:val="24"/>
          <w:szCs w:val="24"/>
        </w:rPr>
        <w:t>m</w:t>
      </w:r>
      <w:r w:rsidRPr="00675AA5">
        <w:rPr>
          <w:rFonts w:ascii="Times New Roman" w:hAnsi="Times New Roman"/>
          <w:sz w:val="24"/>
          <w:szCs w:val="24"/>
        </w:rPr>
        <w:t>ber</w:t>
      </w:r>
      <w:r w:rsidRPr="00675AA5">
        <w:rPr>
          <w:rFonts w:ascii="Times New Roman" w:hAnsi="Times New Roman"/>
          <w:spacing w:val="1"/>
          <w:sz w:val="24"/>
          <w:szCs w:val="24"/>
        </w:rPr>
        <w:t xml:space="preserve"> </w:t>
      </w:r>
      <w:r w:rsidRPr="00675AA5">
        <w:rPr>
          <w:rFonts w:ascii="Times New Roman" w:hAnsi="Times New Roman"/>
          <w:sz w:val="24"/>
          <w:szCs w:val="24"/>
        </w:rPr>
        <w:t>of</w:t>
      </w:r>
      <w:r w:rsidRPr="00675AA5">
        <w:rPr>
          <w:rFonts w:ascii="Times New Roman" w:hAnsi="Times New Roman"/>
          <w:spacing w:val="1"/>
          <w:sz w:val="24"/>
          <w:szCs w:val="24"/>
        </w:rPr>
        <w:t xml:space="preserve"> </w:t>
      </w:r>
      <w:r w:rsidRPr="00675AA5">
        <w:rPr>
          <w:rFonts w:ascii="Times New Roman" w:hAnsi="Times New Roman"/>
          <w:sz w:val="24"/>
          <w:szCs w:val="24"/>
        </w:rPr>
        <w:t>ho</w:t>
      </w:r>
      <w:r w:rsidRPr="00675AA5">
        <w:rPr>
          <w:rFonts w:ascii="Times New Roman" w:hAnsi="Times New Roman"/>
          <w:spacing w:val="-2"/>
          <w:sz w:val="24"/>
          <w:szCs w:val="24"/>
        </w:rPr>
        <w:t>u</w:t>
      </w:r>
      <w:r w:rsidRPr="00675AA5">
        <w:rPr>
          <w:rFonts w:ascii="Times New Roman" w:hAnsi="Times New Roman"/>
          <w:spacing w:val="1"/>
          <w:sz w:val="24"/>
          <w:szCs w:val="24"/>
        </w:rPr>
        <w:t>r</w:t>
      </w:r>
      <w:r w:rsidRPr="00675AA5">
        <w:rPr>
          <w:rFonts w:ascii="Times New Roman" w:hAnsi="Times New Roman"/>
          <w:sz w:val="24"/>
          <w:szCs w:val="24"/>
        </w:rPr>
        <w:t>s w</w:t>
      </w:r>
      <w:r w:rsidRPr="00675AA5">
        <w:rPr>
          <w:rFonts w:ascii="Times New Roman" w:hAnsi="Times New Roman"/>
          <w:spacing w:val="-3"/>
          <w:sz w:val="24"/>
          <w:szCs w:val="24"/>
        </w:rPr>
        <w:t>o</w:t>
      </w:r>
      <w:r w:rsidRPr="00675AA5">
        <w:rPr>
          <w:rFonts w:ascii="Times New Roman" w:hAnsi="Times New Roman"/>
          <w:spacing w:val="1"/>
          <w:sz w:val="24"/>
          <w:szCs w:val="24"/>
        </w:rPr>
        <w:t>r</w:t>
      </w:r>
      <w:r w:rsidRPr="00675AA5">
        <w:rPr>
          <w:rFonts w:ascii="Times New Roman" w:hAnsi="Times New Roman"/>
          <w:spacing w:val="-2"/>
          <w:sz w:val="24"/>
          <w:szCs w:val="24"/>
        </w:rPr>
        <w:t>k</w:t>
      </w:r>
      <w:r w:rsidRPr="00675AA5">
        <w:rPr>
          <w:rFonts w:ascii="Times New Roman" w:hAnsi="Times New Roman"/>
          <w:sz w:val="24"/>
          <w:szCs w:val="24"/>
        </w:rPr>
        <w:t xml:space="preserve">ed, and </w:t>
      </w:r>
      <w:r w:rsidRPr="00675AA5">
        <w:rPr>
          <w:rFonts w:ascii="Times New Roman" w:hAnsi="Times New Roman"/>
          <w:spacing w:val="-2"/>
          <w:sz w:val="24"/>
          <w:szCs w:val="24"/>
        </w:rPr>
        <w:t>d</w:t>
      </w:r>
      <w:r w:rsidRPr="00675AA5">
        <w:rPr>
          <w:rFonts w:ascii="Times New Roman" w:hAnsi="Times New Roman"/>
          <w:sz w:val="24"/>
          <w:szCs w:val="24"/>
        </w:rPr>
        <w:t>a</w:t>
      </w:r>
      <w:r w:rsidRPr="00675AA5">
        <w:rPr>
          <w:rFonts w:ascii="Times New Roman" w:hAnsi="Times New Roman"/>
          <w:spacing w:val="1"/>
          <w:sz w:val="24"/>
          <w:szCs w:val="24"/>
        </w:rPr>
        <w:t>t</w:t>
      </w:r>
      <w:r w:rsidRPr="00675AA5">
        <w:rPr>
          <w:rFonts w:ascii="Times New Roman" w:hAnsi="Times New Roman"/>
          <w:spacing w:val="-2"/>
          <w:sz w:val="24"/>
          <w:szCs w:val="24"/>
        </w:rPr>
        <w:t>e</w:t>
      </w:r>
      <w:r w:rsidRPr="00675AA5">
        <w:rPr>
          <w:rFonts w:ascii="Times New Roman" w:hAnsi="Times New Roman"/>
          <w:sz w:val="24"/>
          <w:szCs w:val="24"/>
        </w:rPr>
        <w:t>s</w:t>
      </w:r>
      <w:r w:rsidRPr="00675AA5">
        <w:rPr>
          <w:rFonts w:ascii="Times New Roman" w:hAnsi="Times New Roman"/>
          <w:spacing w:val="-2"/>
          <w:sz w:val="24"/>
          <w:szCs w:val="24"/>
        </w:rPr>
        <w:t xml:space="preserve"> </w:t>
      </w:r>
      <w:r w:rsidRPr="00675AA5">
        <w:rPr>
          <w:rFonts w:ascii="Times New Roman" w:hAnsi="Times New Roman"/>
          <w:spacing w:val="-1"/>
          <w:sz w:val="24"/>
          <w:szCs w:val="24"/>
        </w:rPr>
        <w:t>w</w:t>
      </w:r>
      <w:r w:rsidRPr="00675AA5">
        <w:rPr>
          <w:rFonts w:ascii="Times New Roman" w:hAnsi="Times New Roman"/>
          <w:sz w:val="24"/>
          <w:szCs w:val="24"/>
        </w:rPr>
        <w:t>o</w:t>
      </w:r>
      <w:r w:rsidRPr="00675AA5">
        <w:rPr>
          <w:rFonts w:ascii="Times New Roman" w:hAnsi="Times New Roman"/>
          <w:spacing w:val="1"/>
          <w:sz w:val="24"/>
          <w:szCs w:val="24"/>
        </w:rPr>
        <w:t>r</w:t>
      </w:r>
      <w:r w:rsidRPr="00675AA5">
        <w:rPr>
          <w:rFonts w:ascii="Times New Roman" w:hAnsi="Times New Roman"/>
          <w:spacing w:val="-2"/>
          <w:sz w:val="24"/>
          <w:szCs w:val="24"/>
        </w:rPr>
        <w:t>k</w:t>
      </w:r>
      <w:r w:rsidRPr="00675AA5">
        <w:rPr>
          <w:rFonts w:ascii="Times New Roman" w:hAnsi="Times New Roman"/>
          <w:sz w:val="24"/>
          <w:szCs w:val="24"/>
        </w:rPr>
        <w:t>ed. P</w:t>
      </w:r>
      <w:r w:rsidRPr="00675AA5">
        <w:rPr>
          <w:rFonts w:ascii="Times New Roman" w:hAnsi="Times New Roman"/>
          <w:spacing w:val="1"/>
          <w:sz w:val="24"/>
          <w:szCs w:val="24"/>
        </w:rPr>
        <w:t>l</w:t>
      </w:r>
      <w:r w:rsidRPr="00675AA5">
        <w:rPr>
          <w:rFonts w:ascii="Times New Roman" w:hAnsi="Times New Roman"/>
          <w:sz w:val="24"/>
          <w:szCs w:val="24"/>
        </w:rPr>
        <w:t>e</w:t>
      </w:r>
      <w:r w:rsidRPr="00675AA5">
        <w:rPr>
          <w:rFonts w:ascii="Times New Roman" w:hAnsi="Times New Roman"/>
          <w:spacing w:val="-2"/>
          <w:sz w:val="24"/>
          <w:szCs w:val="24"/>
        </w:rPr>
        <w:t>a</w:t>
      </w:r>
      <w:r w:rsidRPr="00675AA5">
        <w:rPr>
          <w:rFonts w:ascii="Times New Roman" w:hAnsi="Times New Roman"/>
          <w:sz w:val="24"/>
          <w:szCs w:val="24"/>
        </w:rPr>
        <w:t>se</w:t>
      </w:r>
      <w:r w:rsidRPr="00675AA5">
        <w:rPr>
          <w:rFonts w:ascii="Times New Roman" w:hAnsi="Times New Roman"/>
          <w:spacing w:val="-2"/>
          <w:sz w:val="24"/>
          <w:szCs w:val="24"/>
        </w:rPr>
        <w:t xml:space="preserve"> </w:t>
      </w:r>
      <w:r w:rsidRPr="00675AA5">
        <w:rPr>
          <w:rFonts w:ascii="Times New Roman" w:hAnsi="Times New Roman"/>
          <w:spacing w:val="1"/>
          <w:sz w:val="24"/>
          <w:szCs w:val="24"/>
        </w:rPr>
        <w:t>r</w:t>
      </w:r>
      <w:r w:rsidRPr="00675AA5">
        <w:rPr>
          <w:rFonts w:ascii="Times New Roman" w:hAnsi="Times New Roman"/>
          <w:sz w:val="24"/>
          <w:szCs w:val="24"/>
        </w:rPr>
        <w:t>e</w:t>
      </w:r>
      <w:r w:rsidRPr="00675AA5">
        <w:rPr>
          <w:rFonts w:ascii="Times New Roman" w:hAnsi="Times New Roman"/>
          <w:spacing w:val="-3"/>
          <w:sz w:val="24"/>
          <w:szCs w:val="24"/>
        </w:rPr>
        <w:t>m</w:t>
      </w:r>
      <w:r w:rsidRPr="00675AA5">
        <w:rPr>
          <w:rFonts w:ascii="Times New Roman" w:hAnsi="Times New Roman"/>
          <w:spacing w:val="1"/>
          <w:sz w:val="24"/>
          <w:szCs w:val="24"/>
        </w:rPr>
        <w:t>i</w:t>
      </w:r>
      <w:r w:rsidRPr="00675AA5">
        <w:rPr>
          <w:rFonts w:ascii="Times New Roman" w:hAnsi="Times New Roman"/>
          <w:sz w:val="24"/>
          <w:szCs w:val="24"/>
        </w:rPr>
        <w:t>t</w:t>
      </w:r>
      <w:r w:rsidRPr="00675AA5">
        <w:rPr>
          <w:rFonts w:ascii="Times New Roman" w:hAnsi="Times New Roman"/>
          <w:spacing w:val="1"/>
          <w:sz w:val="24"/>
          <w:szCs w:val="24"/>
        </w:rPr>
        <w:t xml:space="preserve"> i</w:t>
      </w:r>
      <w:r w:rsidRPr="00675AA5">
        <w:rPr>
          <w:rFonts w:ascii="Times New Roman" w:hAnsi="Times New Roman"/>
          <w:sz w:val="24"/>
          <w:szCs w:val="24"/>
        </w:rPr>
        <w:t>n</w:t>
      </w:r>
      <w:r w:rsidRPr="00675AA5">
        <w:rPr>
          <w:rFonts w:ascii="Times New Roman" w:hAnsi="Times New Roman"/>
          <w:spacing w:val="-2"/>
          <w:sz w:val="24"/>
          <w:szCs w:val="24"/>
        </w:rPr>
        <w:t>v</w:t>
      </w:r>
      <w:r w:rsidRPr="00675AA5">
        <w:rPr>
          <w:rFonts w:ascii="Times New Roman" w:hAnsi="Times New Roman"/>
          <w:sz w:val="24"/>
          <w:szCs w:val="24"/>
        </w:rPr>
        <w:t>o</w:t>
      </w:r>
      <w:r w:rsidRPr="00675AA5">
        <w:rPr>
          <w:rFonts w:ascii="Times New Roman" w:hAnsi="Times New Roman"/>
          <w:spacing w:val="-1"/>
          <w:sz w:val="24"/>
          <w:szCs w:val="24"/>
        </w:rPr>
        <w:t>i</w:t>
      </w:r>
      <w:r w:rsidRPr="00675AA5">
        <w:rPr>
          <w:rFonts w:ascii="Times New Roman" w:hAnsi="Times New Roman"/>
          <w:spacing w:val="-2"/>
          <w:sz w:val="24"/>
          <w:szCs w:val="24"/>
        </w:rPr>
        <w:t>c</w:t>
      </w:r>
      <w:r w:rsidRPr="00675AA5">
        <w:rPr>
          <w:rFonts w:ascii="Times New Roman" w:hAnsi="Times New Roman"/>
          <w:sz w:val="24"/>
          <w:szCs w:val="24"/>
        </w:rPr>
        <w:t xml:space="preserve">e </w:t>
      </w:r>
      <w:r w:rsidRPr="00675AA5">
        <w:rPr>
          <w:rFonts w:ascii="Times New Roman" w:hAnsi="Times New Roman"/>
          <w:spacing w:val="1"/>
          <w:sz w:val="24"/>
          <w:szCs w:val="24"/>
        </w:rPr>
        <w:t>t</w:t>
      </w:r>
      <w:r w:rsidRPr="00675AA5">
        <w:rPr>
          <w:rFonts w:ascii="Times New Roman" w:hAnsi="Times New Roman"/>
          <w:sz w:val="24"/>
          <w:szCs w:val="24"/>
        </w:rPr>
        <w:t xml:space="preserve">o the RECO at the </w:t>
      </w:r>
      <w:r w:rsidRPr="00675AA5">
        <w:rPr>
          <w:rFonts w:ascii="Times New Roman" w:hAnsi="Times New Roman"/>
          <w:i/>
          <w:sz w:val="24"/>
          <w:szCs w:val="24"/>
        </w:rPr>
        <w:t xml:space="preserve">Federal Aviation Administration, Attn: </w:t>
      </w:r>
      <w:r w:rsidR="009C66D8" w:rsidRPr="002B2346">
        <w:rPr>
          <w:rFonts w:ascii="Times New Roman" w:hAnsi="Times New Roman"/>
          <w:i/>
          <w:sz w:val="24"/>
          <w:szCs w:val="24"/>
          <w:highlight w:val="darkGray"/>
        </w:rPr>
        <w:t>(</w:t>
      </w:r>
      <w:r w:rsidR="00123B35">
        <w:rPr>
          <w:rFonts w:ascii="Times New Roman" w:hAnsi="Times New Roman"/>
          <w:i/>
          <w:sz w:val="24"/>
          <w:szCs w:val="24"/>
          <w:highlight w:val="darkGray"/>
        </w:rPr>
        <w:t xml:space="preserve">Insert </w:t>
      </w:r>
      <w:r w:rsidR="009C66D8" w:rsidRPr="002B2346">
        <w:rPr>
          <w:rFonts w:ascii="Times New Roman" w:hAnsi="Times New Roman"/>
          <w:i/>
          <w:sz w:val="24"/>
          <w:szCs w:val="24"/>
          <w:highlight w:val="darkGray"/>
        </w:rPr>
        <w:t>RECO Name)</w:t>
      </w:r>
      <w:r w:rsidRPr="002B2346">
        <w:rPr>
          <w:rFonts w:ascii="Times New Roman" w:hAnsi="Times New Roman"/>
          <w:i/>
          <w:sz w:val="24"/>
          <w:szCs w:val="24"/>
          <w:highlight w:val="darkGray"/>
        </w:rPr>
        <w:t>,</w:t>
      </w:r>
      <w:r w:rsidRPr="00675AA5">
        <w:rPr>
          <w:rFonts w:ascii="Times New Roman" w:hAnsi="Times New Roman"/>
          <w:i/>
          <w:sz w:val="24"/>
          <w:szCs w:val="24"/>
        </w:rPr>
        <w:t xml:space="preserve"> Real Estate &amp; Utilities Group, ALO, </w:t>
      </w:r>
      <w:r w:rsidR="009C66D8" w:rsidRPr="002B2346">
        <w:rPr>
          <w:rFonts w:ascii="Times New Roman" w:hAnsi="Times New Roman"/>
          <w:i/>
          <w:sz w:val="24"/>
          <w:szCs w:val="24"/>
          <w:highlight w:val="darkGray"/>
        </w:rPr>
        <w:t>(</w:t>
      </w:r>
      <w:r w:rsidR="00123B35">
        <w:rPr>
          <w:rFonts w:ascii="Times New Roman" w:hAnsi="Times New Roman"/>
          <w:i/>
          <w:sz w:val="24"/>
          <w:szCs w:val="24"/>
          <w:highlight w:val="darkGray"/>
        </w:rPr>
        <w:t xml:space="preserve">Insert </w:t>
      </w:r>
      <w:r w:rsidR="009C66D8" w:rsidRPr="002B2346">
        <w:rPr>
          <w:rFonts w:ascii="Times New Roman" w:hAnsi="Times New Roman"/>
          <w:i/>
          <w:sz w:val="24"/>
          <w:szCs w:val="24"/>
          <w:highlight w:val="darkGray"/>
        </w:rPr>
        <w:t>Service Area Address)</w:t>
      </w:r>
      <w:r w:rsidRPr="002B2346">
        <w:rPr>
          <w:rFonts w:ascii="Times New Roman" w:hAnsi="Times New Roman"/>
          <w:sz w:val="24"/>
          <w:szCs w:val="24"/>
          <w:highlight w:val="darkGray"/>
        </w:rPr>
        <w:t>.</w:t>
      </w:r>
    </w:p>
    <w:p w14:paraId="687E7894" w14:textId="77777777" w:rsidR="00E559AC" w:rsidRDefault="00E559AC" w:rsidP="00D14968">
      <w:pPr>
        <w:spacing w:before="0" w:beforeAutospacing="0" w:after="0" w:afterAutospacing="0"/>
      </w:pPr>
    </w:p>
    <w:p w14:paraId="56E4B76E" w14:textId="77777777" w:rsidR="005B7922" w:rsidRPr="005B7922" w:rsidRDefault="007B330A" w:rsidP="00AF0198">
      <w:pPr>
        <w:pStyle w:val="Heading1"/>
        <w:numPr>
          <w:ilvl w:val="0"/>
          <w:numId w:val="0"/>
        </w:numPr>
        <w:spacing w:before="0" w:beforeAutospacing="0" w:after="0" w:afterAutospacing="0"/>
      </w:pPr>
      <w:r>
        <w:rPr>
          <w:u w:val="none"/>
        </w:rPr>
        <w:t>7</w:t>
      </w:r>
      <w:r w:rsidR="00AF0198" w:rsidRPr="00AF0198">
        <w:rPr>
          <w:u w:val="none"/>
        </w:rPr>
        <w:t>.</w:t>
      </w:r>
      <w:r w:rsidR="00AF0198" w:rsidRPr="00AF0198">
        <w:rPr>
          <w:u w:val="none"/>
        </w:rPr>
        <w:tab/>
      </w:r>
      <w:r w:rsidR="005B7922" w:rsidRPr="005B7922">
        <w:t xml:space="preserve">3.10.1-12  Changes - Fixed-Price (April 1996) </w:t>
      </w:r>
    </w:p>
    <w:p w14:paraId="1F5DE5DB" w14:textId="77777777" w:rsidR="00AF0198" w:rsidRDefault="00AF0198" w:rsidP="00D14968">
      <w:pPr>
        <w:autoSpaceDE w:val="0"/>
        <w:autoSpaceDN w:val="0"/>
        <w:adjustRightInd w:val="0"/>
        <w:spacing w:before="0" w:beforeAutospacing="0" w:after="0" w:afterAutospacing="0"/>
      </w:pPr>
      <w:r>
        <w:t>(a) The Contracting Officer may at any time, by written order, and without notice to the sureties, if any, make changes within the general scope of this contract in any one or more of the following:</w:t>
      </w:r>
    </w:p>
    <w:p w14:paraId="7047D5CD" w14:textId="77777777" w:rsidR="00AF0198" w:rsidRDefault="00AF0198" w:rsidP="00AF0198">
      <w:pPr>
        <w:autoSpaceDE w:val="0"/>
        <w:autoSpaceDN w:val="0"/>
        <w:adjustRightInd w:val="0"/>
        <w:spacing w:before="0" w:beforeAutospacing="0" w:after="0" w:afterAutospacing="0"/>
        <w:ind w:left="720"/>
      </w:pPr>
      <w:r>
        <w:t xml:space="preserve">(1) Description of services to be performed. </w:t>
      </w:r>
      <w:r>
        <w:br/>
        <w:t>(2) Time of performance (i.e., hours of the day, days of the week, etc.).</w:t>
      </w:r>
      <w:r>
        <w:br/>
        <w:t xml:space="preserve">(3) Place of performance of the services. </w:t>
      </w:r>
      <w:r>
        <w:br/>
        <w:t>(4) Drawings, designs, or specifications when the supplies to be furnished are to be specially manufactured for the Government in accordance with the drawings, designs, or specifications.</w:t>
      </w:r>
      <w:r>
        <w:br/>
        <w:t>(5) Method of shipment or packing of supplies.</w:t>
      </w:r>
      <w:r>
        <w:br/>
        <w:t>(6) Place of delivery.</w:t>
      </w:r>
      <w:r w:rsidRPr="00675AA5">
        <w:t xml:space="preserve"> </w:t>
      </w:r>
    </w:p>
    <w:p w14:paraId="0EE2121C" w14:textId="77777777" w:rsidR="005B7922" w:rsidRPr="00121E6E" w:rsidRDefault="005B7922" w:rsidP="00D14968">
      <w:pPr>
        <w:autoSpaceDE w:val="0"/>
        <w:autoSpaceDN w:val="0"/>
        <w:adjustRightInd w:val="0"/>
        <w:spacing w:before="0" w:beforeAutospacing="0" w:after="0" w:afterAutospacing="0"/>
      </w:pPr>
      <w:r w:rsidRPr="00675AA5">
        <w:t>(b) If any such change causes an increase or decrease in the cost of, or the time required for, performance of any part of the work under this contract, whether or not changed by the order, the Contracting Officer shall make an equitable adjustment in the contract price, the delivery schedule, or bo</w:t>
      </w:r>
      <w:r>
        <w:t>th, and shall modify the co</w:t>
      </w:r>
      <w:r w:rsidRPr="00675AA5">
        <w:t>ntract.</w:t>
      </w:r>
    </w:p>
    <w:p w14:paraId="11DD8096" w14:textId="77777777" w:rsidR="005B7922" w:rsidRPr="00675AA5" w:rsidRDefault="005B7922" w:rsidP="00D14968">
      <w:pPr>
        <w:autoSpaceDE w:val="0"/>
        <w:autoSpaceDN w:val="0"/>
        <w:adjustRightInd w:val="0"/>
        <w:spacing w:before="0" w:beforeAutospacing="0" w:after="0" w:afterAutospacing="0"/>
      </w:pPr>
      <w:r w:rsidRPr="00675AA5">
        <w:t>(c) The Contractor must assert its right to an adjustment under this clause within 30 days from the date of receipt of the written order. However, if the Contracting Officer decides that the facts justify it, the Contracting Officer may receive and act upon a proposal submitted before final payment of the contract.</w:t>
      </w:r>
    </w:p>
    <w:p w14:paraId="799AA7BF" w14:textId="77777777" w:rsidR="005B7922" w:rsidRPr="00675AA5" w:rsidRDefault="005B7922" w:rsidP="00D14968">
      <w:pPr>
        <w:autoSpaceDE w:val="0"/>
        <w:autoSpaceDN w:val="0"/>
        <w:adjustRightInd w:val="0"/>
        <w:spacing w:before="0" w:beforeAutospacing="0" w:after="0" w:afterAutospacing="0"/>
      </w:pPr>
      <w:r w:rsidRPr="00675AA5">
        <w:lastRenderedPageBreak/>
        <w:t>(d) If the Contractor's proposal includes the cost of property made obsolete or excess by the change, the Contracting Officer shall have the right to prescribe the manner of the disposition of the property.</w:t>
      </w:r>
    </w:p>
    <w:p w14:paraId="3D223F80" w14:textId="77777777" w:rsidR="005B7922" w:rsidRDefault="005B7922" w:rsidP="00D14968">
      <w:pPr>
        <w:autoSpaceDE w:val="0"/>
        <w:autoSpaceDN w:val="0"/>
        <w:adjustRightInd w:val="0"/>
        <w:spacing w:before="0" w:beforeAutospacing="0" w:after="0" w:afterAutospacing="0"/>
      </w:pPr>
      <w:r w:rsidRPr="00675AA5">
        <w:t>(e) Failure to agree to any adjustment shall be a dispute under the "Disputes" clause. However, nothing in this clause shall excuse the Contractor from proceeding with the contract as changed.</w:t>
      </w:r>
    </w:p>
    <w:p w14:paraId="65EAE7BE" w14:textId="77777777" w:rsidR="00E559AC" w:rsidRDefault="00E559AC" w:rsidP="00D14968">
      <w:pPr>
        <w:pStyle w:val="NormalWeb"/>
        <w:spacing w:before="0" w:beforeAutospacing="0" w:after="0" w:afterAutospacing="0"/>
      </w:pPr>
    </w:p>
    <w:p w14:paraId="66BBB46E" w14:textId="77777777" w:rsidR="00A44FAA" w:rsidRDefault="007B330A" w:rsidP="002B2346">
      <w:pPr>
        <w:pStyle w:val="Heading1"/>
        <w:numPr>
          <w:ilvl w:val="0"/>
          <w:numId w:val="0"/>
        </w:numPr>
        <w:spacing w:before="0" w:beforeAutospacing="0" w:after="0" w:afterAutospacing="0"/>
      </w:pPr>
      <w:r>
        <w:rPr>
          <w:u w:val="none"/>
        </w:rPr>
        <w:t>8</w:t>
      </w:r>
      <w:r w:rsidR="00AF0198" w:rsidRPr="00AF0198">
        <w:rPr>
          <w:u w:val="none"/>
        </w:rPr>
        <w:t xml:space="preserve">. </w:t>
      </w:r>
      <w:r w:rsidR="00AF0198" w:rsidRPr="00AF0198">
        <w:rPr>
          <w:u w:val="none"/>
        </w:rPr>
        <w:tab/>
      </w:r>
      <w:r w:rsidR="00A44FAA" w:rsidRPr="009C66D8">
        <w:t>Invitation to Accompany:</w:t>
      </w:r>
    </w:p>
    <w:p w14:paraId="4A05C2A4" w14:textId="77777777" w:rsidR="00671E60" w:rsidRDefault="00671E60" w:rsidP="00D14968">
      <w:pPr>
        <w:spacing w:before="0" w:beforeAutospacing="0" w:after="0" w:afterAutospacing="0"/>
      </w:pPr>
      <w:r>
        <w:t>Public Law 91-646 requires that the appraiser offer the property owner</w:t>
      </w:r>
      <w:r w:rsidR="00C41991">
        <w:t>,</w:t>
      </w:r>
      <w:r>
        <w:t xml:space="preserve"> or a designated representative</w:t>
      </w:r>
      <w:r w:rsidR="00C41991">
        <w:t>,</w:t>
      </w:r>
      <w:r>
        <w:t xml:space="preserve"> the opportunity to accompany the appraiser on the property inspection.  </w:t>
      </w:r>
      <w:r w:rsidR="00C41991">
        <w:t>D</w:t>
      </w:r>
      <w:r>
        <w:t>ocumentation of the offer and response</w:t>
      </w:r>
      <w:r w:rsidR="00C41991">
        <w:t xml:space="preserve"> should be included</w:t>
      </w:r>
      <w:r>
        <w:t xml:space="preserve"> in the report.</w:t>
      </w:r>
    </w:p>
    <w:p w14:paraId="5A08EFE2" w14:textId="77777777" w:rsidR="00E559AC" w:rsidRDefault="00E559AC" w:rsidP="00D14968">
      <w:pPr>
        <w:spacing w:before="0" w:beforeAutospacing="0" w:after="0" w:afterAutospacing="0"/>
      </w:pPr>
    </w:p>
    <w:p w14:paraId="0695FC89" w14:textId="77777777" w:rsidR="00A44FAA" w:rsidRDefault="007B330A" w:rsidP="002B2346">
      <w:pPr>
        <w:pStyle w:val="Heading1"/>
        <w:numPr>
          <w:ilvl w:val="0"/>
          <w:numId w:val="0"/>
        </w:numPr>
        <w:spacing w:before="0" w:beforeAutospacing="0" w:after="0" w:afterAutospacing="0"/>
      </w:pPr>
      <w:r>
        <w:rPr>
          <w:u w:val="none"/>
        </w:rPr>
        <w:t>9</w:t>
      </w:r>
      <w:r w:rsidR="00AF0198" w:rsidRPr="00AF0198">
        <w:rPr>
          <w:u w:val="none"/>
        </w:rPr>
        <w:t>.</w:t>
      </w:r>
      <w:r w:rsidR="00AF0198" w:rsidRPr="00AF0198">
        <w:rPr>
          <w:u w:val="none"/>
        </w:rPr>
        <w:tab/>
      </w:r>
      <w:r w:rsidR="00A44FAA" w:rsidRPr="009C66D8">
        <w:t>Testifying:</w:t>
      </w:r>
    </w:p>
    <w:p w14:paraId="4E945AC0" w14:textId="29787BE8" w:rsidR="00671E60" w:rsidRDefault="00A44FAA" w:rsidP="00D14968">
      <w:pPr>
        <w:pStyle w:val="NormalWeb"/>
        <w:spacing w:before="0" w:beforeAutospacing="0" w:after="0" w:afterAutospacing="0"/>
      </w:pPr>
      <w:r>
        <w:t xml:space="preserve">Upon the request of the United States Attorney for the Department of Justice, the Contractor agrees to testify as to the value of any and all of the property included in the appraisal report in any judicial proceedings involving the property or its value.  </w:t>
      </w:r>
      <w:r w:rsidR="00671E60">
        <w:t xml:space="preserve">In consideration of the performance of the undertaking provided in this paragraph, the Contractor shall be paid at a rate not </w:t>
      </w:r>
      <w:r w:rsidR="00186034">
        <w:t>to exceed</w:t>
      </w:r>
      <w:r w:rsidR="00671E60">
        <w:t xml:space="preserve"> </w:t>
      </w:r>
      <w:r w:rsidR="00671E60" w:rsidRPr="002B2346">
        <w:rPr>
          <w:highlight w:val="darkGray"/>
        </w:rPr>
        <w:t>$</w:t>
      </w:r>
      <w:r w:rsidR="000D488D" w:rsidRPr="002B2346">
        <w:rPr>
          <w:highlight w:val="darkGray"/>
        </w:rPr>
        <w:t>__</w:t>
      </w:r>
      <w:r w:rsidR="00123B35">
        <w:rPr>
          <w:highlight w:val="darkGray"/>
        </w:rPr>
        <w:t>___</w:t>
      </w:r>
      <w:r w:rsidR="000D488D" w:rsidRPr="002B2346">
        <w:rPr>
          <w:highlight w:val="darkGray"/>
        </w:rPr>
        <w:t>_</w:t>
      </w:r>
      <w:r w:rsidR="000D488D">
        <w:t xml:space="preserve"> (amount to be filled in by RECO)</w:t>
      </w:r>
      <w:r w:rsidR="00671E60">
        <w:t xml:space="preserve"> per hour, which payment shall constitute full reimbursement to the Contractor for such services</w:t>
      </w:r>
      <w:r w:rsidR="00C41991">
        <w:t>,</w:t>
      </w:r>
      <w:r w:rsidR="00671E60">
        <w:t xml:space="preserve"> and for any expenses incurred, including travel and subsistence.  Payment shall be </w:t>
      </w:r>
      <w:r w:rsidR="007C3801">
        <w:t xml:space="preserve">made </w:t>
      </w:r>
      <w:r w:rsidR="00671E60">
        <w:t>by the Department of Justice</w:t>
      </w:r>
      <w:r w:rsidR="007C3801">
        <w:t>,</w:t>
      </w:r>
      <w:r w:rsidR="00671E60">
        <w:t xml:space="preserve"> in accordance with it</w:t>
      </w:r>
      <w:r w:rsidR="00C41991">
        <w:t>s</w:t>
      </w:r>
      <w:r w:rsidR="00671E60">
        <w:t xml:space="preserve"> prescribed regulation and procedures.</w:t>
      </w:r>
      <w:r w:rsidR="00303AC1">
        <w:t xml:space="preserve">  </w:t>
      </w:r>
    </w:p>
    <w:p w14:paraId="2C6A4F7E" w14:textId="77777777" w:rsidR="00E559AC" w:rsidRDefault="00E559AC" w:rsidP="00D14968">
      <w:pPr>
        <w:pStyle w:val="NormalWeb"/>
        <w:spacing w:before="0" w:beforeAutospacing="0" w:after="0" w:afterAutospacing="0"/>
      </w:pPr>
    </w:p>
    <w:p w14:paraId="7680827E" w14:textId="77777777" w:rsidR="00A44FAA" w:rsidRDefault="00306A41" w:rsidP="002B2346">
      <w:pPr>
        <w:pStyle w:val="Heading1"/>
        <w:numPr>
          <w:ilvl w:val="0"/>
          <w:numId w:val="0"/>
        </w:numPr>
        <w:spacing w:before="0" w:beforeAutospacing="0" w:after="0" w:afterAutospacing="0"/>
      </w:pPr>
      <w:r>
        <w:rPr>
          <w:u w:val="none"/>
        </w:rPr>
        <w:t>1</w:t>
      </w:r>
      <w:r w:rsidR="007B330A">
        <w:rPr>
          <w:u w:val="none"/>
        </w:rPr>
        <w:t>0</w:t>
      </w:r>
      <w:r w:rsidR="00AF0198" w:rsidRPr="00AF0198">
        <w:rPr>
          <w:u w:val="none"/>
        </w:rPr>
        <w:t>.</w:t>
      </w:r>
      <w:r w:rsidR="00AF0198" w:rsidRPr="00AF0198">
        <w:rPr>
          <w:u w:val="none"/>
        </w:rPr>
        <w:tab/>
      </w:r>
      <w:r w:rsidR="00A44FAA" w:rsidRPr="009C66D8">
        <w:t>Confidentiality:</w:t>
      </w:r>
    </w:p>
    <w:p w14:paraId="3B1B05DF" w14:textId="77777777" w:rsidR="00671E60" w:rsidRDefault="00D43FDD" w:rsidP="00D14968">
      <w:pPr>
        <w:pStyle w:val="NormalWeb"/>
        <w:spacing w:before="0" w:beforeAutospacing="0" w:after="0" w:afterAutospacing="0"/>
      </w:pPr>
      <w:r>
        <w:t>The content of the appraisal is the sole property of the Government. The C</w:t>
      </w:r>
      <w:r w:rsidR="00671E60">
        <w:t xml:space="preserve">ontractor shall not divulge any information concerning the appraisal to any person </w:t>
      </w:r>
      <w:r>
        <w:t xml:space="preserve">or entity </w:t>
      </w:r>
      <w:r w:rsidR="00671E60">
        <w:t xml:space="preserve">other than the Real Estate Contracting Officer </w:t>
      </w:r>
      <w:r>
        <w:t xml:space="preserve">or </w:t>
      </w:r>
      <w:r w:rsidR="00B050A1">
        <w:t>his/her</w:t>
      </w:r>
      <w:r>
        <w:t xml:space="preserve"> designee which has been made </w:t>
      </w:r>
      <w:r w:rsidR="00671E60">
        <w:t>in writing.</w:t>
      </w:r>
    </w:p>
    <w:p w14:paraId="16BD1DA5" w14:textId="77777777" w:rsidR="00E559AC" w:rsidRDefault="00E559AC" w:rsidP="00D14968">
      <w:pPr>
        <w:pStyle w:val="NormalWeb"/>
        <w:spacing w:before="0" w:beforeAutospacing="0" w:after="0" w:afterAutospacing="0"/>
      </w:pPr>
    </w:p>
    <w:p w14:paraId="25ADABAB" w14:textId="77777777" w:rsidR="00A44FAA" w:rsidRDefault="00306A41" w:rsidP="002B2346">
      <w:pPr>
        <w:pStyle w:val="Heading1"/>
        <w:numPr>
          <w:ilvl w:val="0"/>
          <w:numId w:val="0"/>
        </w:numPr>
        <w:spacing w:before="0" w:beforeAutospacing="0" w:after="0" w:afterAutospacing="0"/>
      </w:pPr>
      <w:r>
        <w:rPr>
          <w:u w:val="none"/>
        </w:rPr>
        <w:t>1</w:t>
      </w:r>
      <w:r w:rsidR="007B330A">
        <w:rPr>
          <w:u w:val="none"/>
        </w:rPr>
        <w:t>1</w:t>
      </w:r>
      <w:r w:rsidR="00AF0198" w:rsidRPr="00AF0198">
        <w:rPr>
          <w:u w:val="none"/>
        </w:rPr>
        <w:t>.</w:t>
      </w:r>
      <w:r w:rsidR="00AF0198" w:rsidRPr="00AF0198">
        <w:rPr>
          <w:u w:val="none"/>
        </w:rPr>
        <w:tab/>
      </w:r>
      <w:r w:rsidR="00A44FAA" w:rsidRPr="009C66D8">
        <w:t>Time Limit on Confidentiality:</w:t>
      </w:r>
    </w:p>
    <w:p w14:paraId="129F8E06" w14:textId="77777777" w:rsidR="00671E60" w:rsidRDefault="00671E60" w:rsidP="00D14968">
      <w:pPr>
        <w:pStyle w:val="NormalWeb"/>
        <w:spacing w:before="0" w:beforeAutospacing="0" w:after="0" w:afterAutospacing="0"/>
      </w:pPr>
      <w:r>
        <w:t xml:space="preserve">The Contractor agrees that prior to the disposal by the Government of the property cited in this agreement, or three (3) years from the completion of the </w:t>
      </w:r>
      <w:r w:rsidR="00D43FDD">
        <w:t>appraisal</w:t>
      </w:r>
      <w:r>
        <w:t xml:space="preserve"> report covering the said property, whichever is the earlier, the Contractor and the employees of the Contractor will not, for the Contractor own account, negotiate for the property or perform services for others in connection with the said property unless written consent of the </w:t>
      </w:r>
      <w:r w:rsidR="00D43FDD">
        <w:t>Real Estate Contracting Officer has</w:t>
      </w:r>
      <w:r>
        <w:t xml:space="preserve"> first </w:t>
      </w:r>
      <w:r w:rsidR="00D43FDD">
        <w:t xml:space="preserve">been </w:t>
      </w:r>
      <w:r>
        <w:t>obtained. </w:t>
      </w:r>
    </w:p>
    <w:p w14:paraId="0E1839ED" w14:textId="77777777" w:rsidR="006A5A16" w:rsidRPr="003528D5" w:rsidRDefault="006A5A16" w:rsidP="00D14968">
      <w:pPr>
        <w:spacing w:before="0" w:beforeAutospacing="0" w:after="0" w:afterAutospacing="0"/>
        <w:rPr>
          <w:b/>
        </w:rPr>
      </w:pPr>
    </w:p>
    <w:p w14:paraId="5272DFFC" w14:textId="77777777" w:rsidR="00B050A1" w:rsidRPr="002B2346" w:rsidRDefault="00397BFC" w:rsidP="00D14968">
      <w:pPr>
        <w:spacing w:before="0" w:beforeAutospacing="0" w:after="0" w:afterAutospacing="0"/>
        <w:rPr>
          <w:b/>
        </w:rPr>
      </w:pPr>
      <w:r w:rsidRPr="002B2346">
        <w:rPr>
          <w:b/>
        </w:rPr>
        <w:t>1</w:t>
      </w:r>
      <w:r w:rsidR="007B330A" w:rsidRPr="002B2346">
        <w:rPr>
          <w:b/>
        </w:rPr>
        <w:t>2</w:t>
      </w:r>
      <w:r w:rsidR="00AF0198" w:rsidRPr="002B2346">
        <w:rPr>
          <w:b/>
        </w:rPr>
        <w:t>.</w:t>
      </w:r>
      <w:r w:rsidR="00AF0198" w:rsidRPr="002B2346">
        <w:rPr>
          <w:b/>
        </w:rPr>
        <w:tab/>
      </w:r>
      <w:r w:rsidR="00B050A1" w:rsidRPr="002B2346">
        <w:rPr>
          <w:b/>
          <w:u w:val="single"/>
        </w:rPr>
        <w:t>3.1-1</w:t>
      </w:r>
      <w:r w:rsidRPr="00397BFC">
        <w:rPr>
          <w:u w:val="single"/>
        </w:rPr>
        <w:t xml:space="preserve"> </w:t>
      </w:r>
      <w:r w:rsidR="00B050A1" w:rsidRPr="002B2346">
        <w:rPr>
          <w:b/>
          <w:u w:val="single"/>
        </w:rPr>
        <w:t>Clauses and Provisions Incorporated by reference (July 2011)</w:t>
      </w:r>
    </w:p>
    <w:p w14:paraId="1C07AACE" w14:textId="77777777" w:rsidR="00B050A1" w:rsidRPr="002B2346" w:rsidRDefault="00B050A1" w:rsidP="00D14968">
      <w:pPr>
        <w:spacing w:before="0" w:beforeAutospacing="0" w:after="0" w:afterAutospacing="0"/>
      </w:pPr>
      <w:r w:rsidRPr="002B2346">
        <w:t xml:space="preserve">This screening information request (SIR) or contract, as applicable, incorporates by reference the provisions or clauses listed below with the same force and effect as if they were given in full text. Upon request, the Contracting Officer will make the full text available, or </w:t>
      </w:r>
      <w:proofErr w:type="spellStart"/>
      <w:r w:rsidRPr="002B2346">
        <w:t>offerors</w:t>
      </w:r>
      <w:proofErr w:type="spellEnd"/>
      <w:r w:rsidRPr="002B2346">
        <w:t xml:space="preserve"> and contractors may obtain the full text via Internet at: </w:t>
      </w:r>
      <w:hyperlink r:id="rId10" w:history="1">
        <w:r w:rsidRPr="002B2346">
          <w:t>http://conwrite.faa.gov</w:t>
        </w:r>
      </w:hyperlink>
      <w:r w:rsidRPr="002B2346">
        <w:t>.</w:t>
      </w:r>
    </w:p>
    <w:p w14:paraId="6D3055A8" w14:textId="77777777" w:rsidR="0020058A" w:rsidRDefault="0020058A" w:rsidP="00D14968">
      <w:pPr>
        <w:spacing w:before="0" w:beforeAutospacing="0" w:after="0" w:afterAutospacing="0"/>
        <w:rPr>
          <w:sz w:val="22"/>
          <w:szCs w:val="22"/>
        </w:rPr>
      </w:pPr>
    </w:p>
    <w:p w14:paraId="72531067" w14:textId="77777777" w:rsidR="00E559AC" w:rsidRPr="002B2346" w:rsidRDefault="0020058A" w:rsidP="00D14968">
      <w:pPr>
        <w:spacing w:before="0" w:beforeAutospacing="0" w:after="0" w:afterAutospacing="0"/>
        <w:rPr>
          <w:b/>
        </w:rPr>
      </w:pPr>
      <w:r w:rsidRPr="002B2346">
        <w:rPr>
          <w:b/>
        </w:rPr>
        <w:t xml:space="preserve">3.1.9-1  </w:t>
      </w:r>
      <w:r w:rsidRPr="002B2346">
        <w:rPr>
          <w:b/>
        </w:rPr>
        <w:tab/>
        <w:t>Electronic Commerce and Signature (July 2013)</w:t>
      </w:r>
    </w:p>
    <w:p w14:paraId="77A941B7" w14:textId="77777777" w:rsidR="00E559AC" w:rsidRPr="006B07BB" w:rsidRDefault="00E559AC" w:rsidP="00D14968">
      <w:pPr>
        <w:spacing w:before="0" w:beforeAutospacing="0" w:after="0" w:afterAutospacing="0"/>
        <w:rPr>
          <w:b/>
        </w:rPr>
      </w:pPr>
      <w:r w:rsidRPr="00123B35">
        <w:rPr>
          <w:b/>
          <w:bCs/>
        </w:rPr>
        <w:lastRenderedPageBreak/>
        <w:t xml:space="preserve">3.2.2.3-47 </w:t>
      </w:r>
      <w:r w:rsidRPr="00123B35">
        <w:rPr>
          <w:b/>
          <w:bCs/>
        </w:rPr>
        <w:tab/>
        <w:t>Permits and Responsibilities</w:t>
      </w:r>
      <w:r w:rsidRPr="00123B35">
        <w:rPr>
          <w:b/>
        </w:rPr>
        <w:t xml:space="preserve"> (July 2004)</w:t>
      </w:r>
    </w:p>
    <w:p w14:paraId="334B04E3" w14:textId="77777777" w:rsidR="00E559AC" w:rsidRPr="002B2346" w:rsidRDefault="00E559AC" w:rsidP="00E559AC">
      <w:pPr>
        <w:spacing w:before="0" w:beforeAutospacing="0" w:after="0" w:afterAutospacing="0"/>
        <w:ind w:left="1440" w:hanging="1440"/>
        <w:rPr>
          <w:b/>
        </w:rPr>
      </w:pPr>
      <w:r w:rsidRPr="002B2346">
        <w:rPr>
          <w:b/>
          <w:bCs/>
        </w:rPr>
        <w:t xml:space="preserve">3.2.2.8-8 </w:t>
      </w:r>
      <w:r w:rsidRPr="002B2346">
        <w:rPr>
          <w:b/>
          <w:bCs/>
        </w:rPr>
        <w:tab/>
        <w:t>Liquidated Damages - Supplies, Services, or Research and Development</w:t>
      </w:r>
      <w:r w:rsidRPr="002B2346">
        <w:rPr>
          <w:b/>
        </w:rPr>
        <w:t xml:space="preserve"> (October 2014)</w:t>
      </w:r>
    </w:p>
    <w:p w14:paraId="60075899" w14:textId="77777777" w:rsidR="00E559AC" w:rsidRPr="002B2346" w:rsidRDefault="00E559AC" w:rsidP="00E559AC">
      <w:pPr>
        <w:spacing w:before="0" w:beforeAutospacing="0" w:after="0" w:afterAutospacing="0"/>
        <w:ind w:left="1440" w:hanging="1440"/>
        <w:rPr>
          <w:b/>
          <w:sz w:val="22"/>
          <w:szCs w:val="22"/>
        </w:rPr>
      </w:pPr>
      <w:r w:rsidRPr="002B2346">
        <w:rPr>
          <w:b/>
          <w:bCs/>
        </w:rPr>
        <w:t xml:space="preserve">3.2.4-34 </w:t>
      </w:r>
      <w:r w:rsidRPr="002B2346">
        <w:rPr>
          <w:b/>
          <w:bCs/>
        </w:rPr>
        <w:tab/>
        <w:t>Option to Extend Services</w:t>
      </w:r>
      <w:r w:rsidRPr="002B2346">
        <w:rPr>
          <w:b/>
        </w:rPr>
        <w:t xml:space="preserve"> (October 2014)</w:t>
      </w:r>
    </w:p>
    <w:p w14:paraId="14DEC126" w14:textId="77777777" w:rsidR="00E559AC" w:rsidRPr="006B07BB" w:rsidRDefault="00E559AC" w:rsidP="00E559AC">
      <w:pPr>
        <w:spacing w:before="0" w:beforeAutospacing="0" w:after="0" w:afterAutospacing="0"/>
        <w:rPr>
          <w:b/>
        </w:rPr>
      </w:pPr>
      <w:r w:rsidRPr="00123B35">
        <w:rPr>
          <w:b/>
          <w:bCs/>
        </w:rPr>
        <w:t xml:space="preserve">3.2.5-1 </w:t>
      </w:r>
      <w:r w:rsidRPr="00123B35">
        <w:rPr>
          <w:b/>
          <w:bCs/>
        </w:rPr>
        <w:tab/>
        <w:t>Officials Not to Benefit</w:t>
      </w:r>
      <w:r w:rsidRPr="00123B35">
        <w:rPr>
          <w:b/>
        </w:rPr>
        <w:t xml:space="preserve"> (April 1996)</w:t>
      </w:r>
    </w:p>
    <w:p w14:paraId="40A480EF" w14:textId="77777777" w:rsidR="00E559AC" w:rsidRPr="002B2346" w:rsidRDefault="00E559AC" w:rsidP="00E559AC">
      <w:pPr>
        <w:spacing w:before="0" w:beforeAutospacing="0" w:after="0" w:afterAutospacing="0"/>
        <w:rPr>
          <w:b/>
        </w:rPr>
      </w:pPr>
      <w:r w:rsidRPr="002B2346">
        <w:rPr>
          <w:b/>
          <w:bCs/>
        </w:rPr>
        <w:t xml:space="preserve">3.2.5-2 </w:t>
      </w:r>
      <w:r w:rsidRPr="002B2346">
        <w:rPr>
          <w:b/>
          <w:bCs/>
        </w:rPr>
        <w:tab/>
        <w:t>Independent Price Determination</w:t>
      </w:r>
      <w:r w:rsidRPr="002B2346">
        <w:rPr>
          <w:b/>
        </w:rPr>
        <w:t xml:space="preserve"> (October 1996)</w:t>
      </w:r>
    </w:p>
    <w:p w14:paraId="01F31829" w14:textId="77777777" w:rsidR="00E559AC" w:rsidRPr="006B07BB" w:rsidRDefault="00E559AC" w:rsidP="00E559AC">
      <w:pPr>
        <w:spacing w:before="0" w:beforeAutospacing="0" w:after="0" w:afterAutospacing="0"/>
        <w:rPr>
          <w:b/>
        </w:rPr>
      </w:pPr>
      <w:r w:rsidRPr="00123B35">
        <w:rPr>
          <w:b/>
          <w:bCs/>
        </w:rPr>
        <w:t xml:space="preserve">3.2.5-3  </w:t>
      </w:r>
      <w:r w:rsidRPr="00123B35">
        <w:rPr>
          <w:b/>
          <w:bCs/>
        </w:rPr>
        <w:tab/>
        <w:t>Gratuities or Gifts</w:t>
      </w:r>
      <w:r w:rsidRPr="00123B35">
        <w:rPr>
          <w:b/>
        </w:rPr>
        <w:t xml:space="preserve"> (January 1999)</w:t>
      </w:r>
    </w:p>
    <w:p w14:paraId="65F28D5F" w14:textId="77777777" w:rsidR="00E559AC" w:rsidRPr="00123B35" w:rsidRDefault="00E559AC" w:rsidP="00E559AC">
      <w:pPr>
        <w:spacing w:before="0" w:beforeAutospacing="0" w:after="0" w:afterAutospacing="0"/>
        <w:rPr>
          <w:b/>
        </w:rPr>
      </w:pPr>
      <w:r w:rsidRPr="00123B35">
        <w:rPr>
          <w:b/>
          <w:bCs/>
        </w:rPr>
        <w:t xml:space="preserve">3.2.5-4  </w:t>
      </w:r>
      <w:r w:rsidRPr="00123B35">
        <w:rPr>
          <w:b/>
          <w:bCs/>
        </w:rPr>
        <w:tab/>
        <w:t>Contingent Fees</w:t>
      </w:r>
      <w:r w:rsidRPr="00123B35">
        <w:rPr>
          <w:b/>
        </w:rPr>
        <w:t xml:space="preserve"> (October 1996)</w:t>
      </w:r>
    </w:p>
    <w:p w14:paraId="2526635C" w14:textId="77777777" w:rsidR="00E559AC" w:rsidRPr="002B2346" w:rsidRDefault="00E559AC" w:rsidP="00E559AC">
      <w:pPr>
        <w:spacing w:before="0" w:beforeAutospacing="0" w:after="0" w:afterAutospacing="0"/>
        <w:rPr>
          <w:b/>
        </w:rPr>
      </w:pPr>
      <w:r w:rsidRPr="002B2346">
        <w:rPr>
          <w:b/>
          <w:bCs/>
        </w:rPr>
        <w:t xml:space="preserve">3.2.5-8 </w:t>
      </w:r>
      <w:r w:rsidRPr="002B2346">
        <w:rPr>
          <w:b/>
          <w:bCs/>
        </w:rPr>
        <w:tab/>
        <w:t>Whistleblower Protection for Contractor Employees</w:t>
      </w:r>
      <w:r w:rsidRPr="002B2346">
        <w:rPr>
          <w:b/>
        </w:rPr>
        <w:t xml:space="preserve"> (April 1996)</w:t>
      </w:r>
    </w:p>
    <w:p w14:paraId="4CBE95D7" w14:textId="77777777" w:rsidR="00ED1743" w:rsidRPr="00892D10" w:rsidRDefault="00ED1743" w:rsidP="00D14968">
      <w:pPr>
        <w:spacing w:before="0" w:beforeAutospacing="0" w:after="0" w:afterAutospacing="0"/>
        <w:rPr>
          <w:b/>
        </w:rPr>
      </w:pPr>
      <w:r w:rsidRPr="00892D10">
        <w:rPr>
          <w:b/>
          <w:bCs/>
        </w:rPr>
        <w:t xml:space="preserve">3.3.1-15 </w:t>
      </w:r>
      <w:r w:rsidRPr="00892D10">
        <w:rPr>
          <w:b/>
          <w:bCs/>
        </w:rPr>
        <w:tab/>
        <w:t>Assignment of Claims</w:t>
      </w:r>
      <w:r w:rsidRPr="00892D10">
        <w:rPr>
          <w:b/>
        </w:rPr>
        <w:t xml:space="preserve"> (April 1996)</w:t>
      </w:r>
    </w:p>
    <w:p w14:paraId="468735A4" w14:textId="77777777" w:rsidR="00ED1743" w:rsidRPr="00892D10" w:rsidRDefault="00ED1743" w:rsidP="00D14968">
      <w:pPr>
        <w:spacing w:before="0" w:beforeAutospacing="0" w:after="0" w:afterAutospacing="0"/>
        <w:rPr>
          <w:b/>
        </w:rPr>
      </w:pPr>
      <w:r w:rsidRPr="00892D10">
        <w:rPr>
          <w:b/>
          <w:bCs/>
        </w:rPr>
        <w:t xml:space="preserve">3.3.1-17 </w:t>
      </w:r>
      <w:r w:rsidRPr="00892D10">
        <w:rPr>
          <w:b/>
          <w:bCs/>
        </w:rPr>
        <w:tab/>
        <w:t>Prompt Payment</w:t>
      </w:r>
      <w:r w:rsidRPr="00892D10">
        <w:rPr>
          <w:b/>
        </w:rPr>
        <w:t xml:space="preserve"> (January 2017)</w:t>
      </w:r>
    </w:p>
    <w:p w14:paraId="4C21BAEE" w14:textId="77777777" w:rsidR="00892D10" w:rsidRPr="00892D10" w:rsidRDefault="00892D10" w:rsidP="00D14968">
      <w:pPr>
        <w:spacing w:before="0" w:beforeAutospacing="0" w:after="0" w:afterAutospacing="0"/>
        <w:rPr>
          <w:b/>
        </w:rPr>
      </w:pPr>
      <w:r w:rsidRPr="00892D10">
        <w:rPr>
          <w:b/>
          <w:bCs/>
        </w:rPr>
        <w:t xml:space="preserve">3.3.1-34 </w:t>
      </w:r>
      <w:r w:rsidRPr="00892D10">
        <w:rPr>
          <w:b/>
          <w:bCs/>
        </w:rPr>
        <w:tab/>
        <w:t xml:space="preserve">Payment by Electronic Funds Transfer- System for Award </w:t>
      </w:r>
      <w:r w:rsidRPr="00892D10">
        <w:rPr>
          <w:b/>
          <w:bCs/>
        </w:rPr>
        <w:tab/>
      </w:r>
      <w:r w:rsidRPr="00892D10">
        <w:rPr>
          <w:b/>
          <w:bCs/>
        </w:rPr>
        <w:tab/>
      </w:r>
      <w:r w:rsidRPr="00892D10">
        <w:rPr>
          <w:b/>
          <w:bCs/>
        </w:rPr>
        <w:tab/>
      </w:r>
      <w:r w:rsidRPr="00892D10">
        <w:rPr>
          <w:b/>
          <w:bCs/>
        </w:rPr>
        <w:tab/>
        <w:t>Management</w:t>
      </w:r>
      <w:r w:rsidRPr="00892D10">
        <w:rPr>
          <w:b/>
        </w:rPr>
        <w:t xml:space="preserve"> (August 2012)</w:t>
      </w:r>
    </w:p>
    <w:p w14:paraId="450D1AF2" w14:textId="77777777" w:rsidR="00892D10" w:rsidRPr="002B2346" w:rsidRDefault="00892D10" w:rsidP="00D14968">
      <w:pPr>
        <w:spacing w:before="0" w:beforeAutospacing="0" w:after="0" w:afterAutospacing="0"/>
        <w:rPr>
          <w:b/>
        </w:rPr>
      </w:pPr>
      <w:r w:rsidRPr="002B2346">
        <w:rPr>
          <w:b/>
          <w:bCs/>
        </w:rPr>
        <w:t xml:space="preserve">3.4.1-10 </w:t>
      </w:r>
      <w:r w:rsidRPr="002B2346">
        <w:rPr>
          <w:b/>
          <w:bCs/>
        </w:rPr>
        <w:tab/>
        <w:t>Insurance - Work on a Government Installation</w:t>
      </w:r>
      <w:r w:rsidRPr="002B2346">
        <w:rPr>
          <w:b/>
        </w:rPr>
        <w:t xml:space="preserve"> (July 1996)</w:t>
      </w:r>
    </w:p>
    <w:p w14:paraId="22CF91A1" w14:textId="77777777" w:rsidR="00892D10" w:rsidRPr="002B2346" w:rsidRDefault="00892D10" w:rsidP="00D14968">
      <w:pPr>
        <w:spacing w:before="0" w:beforeAutospacing="0" w:after="0" w:afterAutospacing="0"/>
        <w:rPr>
          <w:b/>
        </w:rPr>
      </w:pPr>
      <w:r w:rsidRPr="002B2346">
        <w:rPr>
          <w:b/>
          <w:bCs/>
        </w:rPr>
        <w:t xml:space="preserve">3.4.1-13 </w:t>
      </w:r>
      <w:r w:rsidRPr="002B2346">
        <w:rPr>
          <w:b/>
          <w:bCs/>
        </w:rPr>
        <w:tab/>
        <w:t>Errors and Omissions</w:t>
      </w:r>
      <w:r w:rsidRPr="002B2346">
        <w:rPr>
          <w:b/>
        </w:rPr>
        <w:t xml:space="preserve"> (July 1996)</w:t>
      </w:r>
    </w:p>
    <w:p w14:paraId="10128D8E" w14:textId="77777777" w:rsidR="00E62956" w:rsidRPr="002B2346" w:rsidRDefault="00E62956" w:rsidP="00E62956">
      <w:pPr>
        <w:spacing w:before="0" w:beforeAutospacing="0" w:after="0" w:afterAutospacing="0"/>
        <w:ind w:left="1440" w:hanging="1440"/>
        <w:rPr>
          <w:b/>
        </w:rPr>
      </w:pPr>
      <w:r w:rsidRPr="002B2346">
        <w:rPr>
          <w:b/>
        </w:rPr>
        <w:t>3.4.2-6</w:t>
      </w:r>
      <w:r w:rsidRPr="002B2346">
        <w:rPr>
          <w:b/>
        </w:rPr>
        <w:tab/>
        <w:t>Taxes - Contracts Performed in U.S. Possessions or Puerto Rico (October 1996)</w:t>
      </w:r>
    </w:p>
    <w:p w14:paraId="32CD3FAD" w14:textId="77777777" w:rsidR="00892D10" w:rsidRPr="002B2346" w:rsidRDefault="00892D10" w:rsidP="00892D10">
      <w:pPr>
        <w:spacing w:before="0" w:beforeAutospacing="0" w:after="0" w:afterAutospacing="0"/>
        <w:ind w:left="1440" w:hanging="1440"/>
        <w:rPr>
          <w:b/>
        </w:rPr>
      </w:pPr>
      <w:r w:rsidRPr="002B2346">
        <w:rPr>
          <w:b/>
          <w:bCs/>
        </w:rPr>
        <w:t xml:space="preserve">3.4.2-7 </w:t>
      </w:r>
      <w:r w:rsidRPr="002B2346">
        <w:rPr>
          <w:b/>
          <w:bCs/>
        </w:rPr>
        <w:tab/>
        <w:t>Federal, State, and Local Taxes - Fixed-Price, Noncompetitive Contract</w:t>
      </w:r>
      <w:r w:rsidRPr="002B2346">
        <w:rPr>
          <w:b/>
        </w:rPr>
        <w:t xml:space="preserve"> (April 1996)</w:t>
      </w:r>
      <w:r w:rsidR="0020058A" w:rsidRPr="002B2346">
        <w:rPr>
          <w:b/>
        </w:rPr>
        <w:t xml:space="preserve"> </w:t>
      </w:r>
      <w:r w:rsidR="0020058A" w:rsidRPr="002B2346">
        <w:rPr>
          <w:b/>
          <w:i/>
        </w:rPr>
        <w:t>(For noncompetitive contracts use this clause and for competitive contracts use 3.4.2-8)</w:t>
      </w:r>
      <w:r w:rsidR="0020058A" w:rsidRPr="002B2346">
        <w:rPr>
          <w:b/>
        </w:rPr>
        <w:t xml:space="preserve"> </w:t>
      </w:r>
    </w:p>
    <w:p w14:paraId="0710A771" w14:textId="77777777" w:rsidR="00892D10" w:rsidRPr="002B2346" w:rsidRDefault="00892D10" w:rsidP="00892D10">
      <w:pPr>
        <w:spacing w:before="0" w:beforeAutospacing="0" w:after="0" w:afterAutospacing="0"/>
        <w:ind w:left="1440" w:hanging="1440"/>
        <w:rPr>
          <w:b/>
        </w:rPr>
      </w:pPr>
      <w:r w:rsidRPr="002B2346">
        <w:rPr>
          <w:b/>
          <w:bCs/>
        </w:rPr>
        <w:t xml:space="preserve">3.6.2-6 </w:t>
      </w:r>
      <w:r w:rsidRPr="002B2346">
        <w:rPr>
          <w:b/>
          <w:bCs/>
        </w:rPr>
        <w:tab/>
        <w:t>Previous Contracts and Compliance Reports</w:t>
      </w:r>
      <w:r w:rsidRPr="002B2346">
        <w:rPr>
          <w:b/>
        </w:rPr>
        <w:t xml:space="preserve"> (May 1997)</w:t>
      </w:r>
    </w:p>
    <w:p w14:paraId="24F45A7E" w14:textId="77777777" w:rsidR="00892D10" w:rsidRPr="002B2346" w:rsidRDefault="00892D10" w:rsidP="00892D10">
      <w:pPr>
        <w:spacing w:before="0" w:beforeAutospacing="0" w:after="0" w:afterAutospacing="0"/>
        <w:ind w:left="1440" w:hanging="1440"/>
        <w:rPr>
          <w:b/>
          <w:i/>
        </w:rPr>
      </w:pPr>
      <w:r w:rsidRPr="002B2346">
        <w:rPr>
          <w:b/>
          <w:bCs/>
        </w:rPr>
        <w:t xml:space="preserve">3.6.2-9 </w:t>
      </w:r>
      <w:r w:rsidRPr="002B2346">
        <w:rPr>
          <w:b/>
          <w:bCs/>
        </w:rPr>
        <w:tab/>
        <w:t>Equal Opportunity</w:t>
      </w:r>
      <w:r w:rsidRPr="002B2346">
        <w:rPr>
          <w:b/>
        </w:rPr>
        <w:t xml:space="preserve"> (August 1998)  </w:t>
      </w:r>
      <w:r w:rsidRPr="002B2346">
        <w:rPr>
          <w:b/>
          <w:i/>
        </w:rPr>
        <w:t>(Over $10,000 – most appraisals range from $7500 - $15000)</w:t>
      </w:r>
    </w:p>
    <w:p w14:paraId="4D404F57" w14:textId="77777777" w:rsidR="0020058A" w:rsidRPr="002B2346" w:rsidRDefault="0020058A" w:rsidP="00892D10">
      <w:pPr>
        <w:spacing w:before="0" w:beforeAutospacing="0" w:after="0" w:afterAutospacing="0"/>
        <w:ind w:left="1440" w:hanging="1440"/>
        <w:rPr>
          <w:b/>
          <w:i/>
        </w:rPr>
      </w:pPr>
      <w:r w:rsidRPr="002B2346">
        <w:rPr>
          <w:b/>
        </w:rPr>
        <w:t>3.6.2-13</w:t>
      </w:r>
      <w:r w:rsidRPr="002B2346">
        <w:rPr>
          <w:b/>
        </w:rPr>
        <w:tab/>
        <w:t>Affirmative Action for Workers With Disabilities (October 2010)</w:t>
      </w:r>
      <w:r w:rsidRPr="00123B35">
        <w:rPr>
          <w:b/>
        </w:rPr>
        <w:t xml:space="preserve">  </w:t>
      </w:r>
      <w:r w:rsidRPr="002B2346">
        <w:rPr>
          <w:b/>
          <w:i/>
        </w:rPr>
        <w:t>(For contracts over $15,000)</w:t>
      </w:r>
    </w:p>
    <w:p w14:paraId="3730A5F5" w14:textId="77777777" w:rsidR="00397BFC" w:rsidRPr="002B2346" w:rsidRDefault="00397BFC" w:rsidP="00892D10">
      <w:pPr>
        <w:spacing w:before="0" w:beforeAutospacing="0" w:after="0" w:afterAutospacing="0"/>
        <w:ind w:left="1440" w:hanging="1440"/>
        <w:rPr>
          <w:b/>
        </w:rPr>
      </w:pPr>
      <w:r w:rsidRPr="002B2346">
        <w:rPr>
          <w:b/>
        </w:rPr>
        <w:t>3.6.2-39</w:t>
      </w:r>
      <w:r w:rsidRPr="002B2346">
        <w:rPr>
          <w:b/>
        </w:rPr>
        <w:tab/>
        <w:t>Trafficking in Persons (October 2015)</w:t>
      </w:r>
    </w:p>
    <w:p w14:paraId="605B6A50" w14:textId="77777777" w:rsidR="00397BFC" w:rsidRPr="002B2346" w:rsidRDefault="00397BFC" w:rsidP="00892D10">
      <w:pPr>
        <w:spacing w:before="0" w:beforeAutospacing="0" w:after="0" w:afterAutospacing="0"/>
        <w:ind w:left="1440" w:hanging="1440"/>
        <w:rPr>
          <w:b/>
        </w:rPr>
      </w:pPr>
      <w:r w:rsidRPr="002B2346">
        <w:rPr>
          <w:b/>
        </w:rPr>
        <w:t>3.6.3-16</w:t>
      </w:r>
      <w:r w:rsidRPr="002B2346">
        <w:rPr>
          <w:b/>
        </w:rPr>
        <w:tab/>
        <w:t>Drug Free Workplace (March 2009)</w:t>
      </w:r>
    </w:p>
    <w:p w14:paraId="2E0A75C0" w14:textId="77777777" w:rsidR="00397BFC" w:rsidRPr="002B2346" w:rsidRDefault="00397BFC" w:rsidP="00892D10">
      <w:pPr>
        <w:spacing w:before="0" w:beforeAutospacing="0" w:after="0" w:afterAutospacing="0"/>
        <w:ind w:left="1440" w:hanging="1440"/>
        <w:rPr>
          <w:b/>
        </w:rPr>
      </w:pPr>
      <w:r w:rsidRPr="002B2346">
        <w:rPr>
          <w:b/>
        </w:rPr>
        <w:t>3.6.3-23</w:t>
      </w:r>
      <w:r w:rsidRPr="002B2346">
        <w:rPr>
          <w:b/>
        </w:rPr>
        <w:tab/>
        <w:t>Delivery of Electronic and Paper Documents (October 2014)</w:t>
      </w:r>
    </w:p>
    <w:p w14:paraId="625415CC" w14:textId="77777777" w:rsidR="00397BFC" w:rsidRPr="002B2346" w:rsidRDefault="00397BFC" w:rsidP="00892D10">
      <w:pPr>
        <w:spacing w:before="0" w:beforeAutospacing="0" w:after="0" w:afterAutospacing="0"/>
        <w:ind w:left="1440" w:hanging="1440"/>
        <w:rPr>
          <w:b/>
        </w:rPr>
      </w:pPr>
      <w:r w:rsidRPr="002B2346">
        <w:rPr>
          <w:b/>
          <w:bCs/>
        </w:rPr>
        <w:t xml:space="preserve">3.6.4-10 </w:t>
      </w:r>
      <w:r w:rsidRPr="002B2346">
        <w:rPr>
          <w:b/>
          <w:bCs/>
        </w:rPr>
        <w:tab/>
        <w:t>Restrictions on Certain Foreign Purchases</w:t>
      </w:r>
      <w:r w:rsidRPr="002B2346">
        <w:t xml:space="preserve"> </w:t>
      </w:r>
      <w:r w:rsidRPr="002B2346">
        <w:rPr>
          <w:b/>
        </w:rPr>
        <w:t>(January 2010)</w:t>
      </w:r>
    </w:p>
    <w:p w14:paraId="4ED52526" w14:textId="77777777" w:rsidR="00397BFC" w:rsidRPr="002B2346" w:rsidRDefault="00397BFC" w:rsidP="00892D10">
      <w:pPr>
        <w:spacing w:before="0" w:beforeAutospacing="0" w:after="0" w:afterAutospacing="0"/>
        <w:ind w:left="1440" w:hanging="1440"/>
        <w:rPr>
          <w:b/>
        </w:rPr>
      </w:pPr>
      <w:r w:rsidRPr="002B2346">
        <w:rPr>
          <w:b/>
          <w:bCs/>
        </w:rPr>
        <w:t xml:space="preserve">3.8.2-9 </w:t>
      </w:r>
      <w:r w:rsidRPr="002B2346">
        <w:rPr>
          <w:b/>
          <w:bCs/>
        </w:rPr>
        <w:tab/>
        <w:t>Site Visit</w:t>
      </w:r>
      <w:r w:rsidRPr="002B2346">
        <w:t xml:space="preserve"> </w:t>
      </w:r>
      <w:r w:rsidRPr="002B2346">
        <w:rPr>
          <w:b/>
        </w:rPr>
        <w:t>(April 1996)</w:t>
      </w:r>
    </w:p>
    <w:p w14:paraId="61FF0E2D" w14:textId="77777777" w:rsidR="008D683F" w:rsidRPr="002B2346" w:rsidRDefault="008D683F" w:rsidP="00892D10">
      <w:pPr>
        <w:spacing w:before="0" w:beforeAutospacing="0" w:after="0" w:afterAutospacing="0"/>
        <w:ind w:left="1440" w:hanging="1440"/>
        <w:rPr>
          <w:b/>
        </w:rPr>
      </w:pPr>
      <w:r w:rsidRPr="002B2346">
        <w:rPr>
          <w:b/>
          <w:bCs/>
        </w:rPr>
        <w:t xml:space="preserve">3.8.2-10 </w:t>
      </w:r>
      <w:r w:rsidRPr="002B2346">
        <w:rPr>
          <w:b/>
          <w:bCs/>
        </w:rPr>
        <w:tab/>
        <w:t>Protection of Government Buildings, Equipment, and Vegetation</w:t>
      </w:r>
      <w:r w:rsidRPr="002B2346">
        <w:t xml:space="preserve"> </w:t>
      </w:r>
      <w:r w:rsidRPr="002B2346">
        <w:rPr>
          <w:b/>
        </w:rPr>
        <w:t>(April 1996)</w:t>
      </w:r>
    </w:p>
    <w:p w14:paraId="10CFB95B" w14:textId="77777777" w:rsidR="008D683F" w:rsidRPr="002B2346" w:rsidRDefault="008D683F" w:rsidP="00892D10">
      <w:pPr>
        <w:spacing w:before="0" w:beforeAutospacing="0" w:after="0" w:afterAutospacing="0"/>
        <w:ind w:left="1440" w:hanging="1440"/>
        <w:rPr>
          <w:b/>
        </w:rPr>
      </w:pPr>
      <w:r w:rsidRPr="002B2346">
        <w:rPr>
          <w:b/>
          <w:bCs/>
        </w:rPr>
        <w:t xml:space="preserve">3.8.2-18 </w:t>
      </w:r>
      <w:r w:rsidRPr="002B2346">
        <w:rPr>
          <w:b/>
          <w:bCs/>
        </w:rPr>
        <w:tab/>
        <w:t>Certification of Data</w:t>
      </w:r>
      <w:r w:rsidRPr="002B2346">
        <w:t xml:space="preserve"> </w:t>
      </w:r>
      <w:r w:rsidRPr="002B2346">
        <w:rPr>
          <w:b/>
        </w:rPr>
        <w:t>(May 1997)</w:t>
      </w:r>
    </w:p>
    <w:p w14:paraId="0C0685D8" w14:textId="77777777" w:rsidR="00CE61A6" w:rsidRPr="00123B35" w:rsidRDefault="00CE61A6" w:rsidP="00D14968">
      <w:pPr>
        <w:spacing w:before="0" w:beforeAutospacing="0" w:after="0" w:afterAutospacing="0"/>
        <w:rPr>
          <w:b/>
        </w:rPr>
      </w:pPr>
      <w:r w:rsidRPr="00123B35">
        <w:rPr>
          <w:b/>
          <w:bCs/>
        </w:rPr>
        <w:t xml:space="preserve">3.9.1-1 </w:t>
      </w:r>
      <w:r w:rsidR="000F5708" w:rsidRPr="00123B35">
        <w:rPr>
          <w:b/>
          <w:bCs/>
        </w:rPr>
        <w:tab/>
      </w:r>
      <w:r w:rsidRPr="006B07BB">
        <w:rPr>
          <w:b/>
          <w:bCs/>
        </w:rPr>
        <w:t>Contract Disputes</w:t>
      </w:r>
      <w:r w:rsidRPr="006B07BB">
        <w:rPr>
          <w:b/>
        </w:rPr>
        <w:t xml:space="preserve"> (October 2011)</w:t>
      </w:r>
    </w:p>
    <w:p w14:paraId="71496244" w14:textId="77777777" w:rsidR="008D683F" w:rsidRPr="002B2346" w:rsidRDefault="008D683F" w:rsidP="00D14968">
      <w:pPr>
        <w:spacing w:before="0" w:beforeAutospacing="0" w:after="0" w:afterAutospacing="0"/>
        <w:rPr>
          <w:b/>
        </w:rPr>
      </w:pPr>
      <w:r w:rsidRPr="002B2346">
        <w:rPr>
          <w:b/>
        </w:rPr>
        <w:t xml:space="preserve">3.9.1-2 </w:t>
      </w:r>
      <w:r w:rsidRPr="002B2346">
        <w:rPr>
          <w:b/>
        </w:rPr>
        <w:tab/>
        <w:t>Protest After Award</w:t>
      </w:r>
    </w:p>
    <w:p w14:paraId="274BD0C0" w14:textId="77777777" w:rsidR="00AF0198" w:rsidRPr="002B2346" w:rsidRDefault="00AF0198" w:rsidP="00D14968">
      <w:pPr>
        <w:spacing w:before="0" w:beforeAutospacing="0" w:after="0" w:afterAutospacing="0"/>
        <w:rPr>
          <w:b/>
        </w:rPr>
      </w:pPr>
      <w:r w:rsidRPr="002B2346">
        <w:rPr>
          <w:b/>
        </w:rPr>
        <w:t>3.10.1-7</w:t>
      </w:r>
      <w:r w:rsidRPr="002B2346">
        <w:rPr>
          <w:b/>
        </w:rPr>
        <w:tab/>
        <w:t>Bankruptcy (April 1996)</w:t>
      </w:r>
    </w:p>
    <w:p w14:paraId="22942DF1" w14:textId="77777777" w:rsidR="00AF0198" w:rsidRPr="002B2346" w:rsidRDefault="00AF0198" w:rsidP="00D14968">
      <w:pPr>
        <w:spacing w:before="0" w:beforeAutospacing="0" w:after="0" w:afterAutospacing="0"/>
        <w:rPr>
          <w:b/>
        </w:rPr>
      </w:pPr>
      <w:r w:rsidRPr="002B2346">
        <w:rPr>
          <w:b/>
        </w:rPr>
        <w:t>3.10.1-9</w:t>
      </w:r>
      <w:r w:rsidRPr="002B2346">
        <w:rPr>
          <w:b/>
        </w:rPr>
        <w:tab/>
        <w:t>Stop-Work Order (October 1996)</w:t>
      </w:r>
    </w:p>
    <w:p w14:paraId="29B34860" w14:textId="77777777" w:rsidR="00AF0198" w:rsidRPr="002B2346" w:rsidRDefault="00AF0198" w:rsidP="00D14968">
      <w:pPr>
        <w:spacing w:before="0" w:beforeAutospacing="0" w:after="0" w:afterAutospacing="0"/>
        <w:rPr>
          <w:b/>
        </w:rPr>
      </w:pPr>
      <w:r w:rsidRPr="002B2346">
        <w:rPr>
          <w:b/>
        </w:rPr>
        <w:t>3.10.1-24</w:t>
      </w:r>
      <w:r w:rsidRPr="002B2346">
        <w:rPr>
          <w:b/>
        </w:rPr>
        <w:tab/>
        <w:t>Notice of Delays (March 2009)</w:t>
      </w:r>
    </w:p>
    <w:p w14:paraId="5DEC4BD6" w14:textId="77777777" w:rsidR="00AF0198" w:rsidRPr="002B2346" w:rsidRDefault="00AF0198" w:rsidP="00D14968">
      <w:pPr>
        <w:spacing w:before="0" w:beforeAutospacing="0" w:after="0" w:afterAutospacing="0"/>
        <w:rPr>
          <w:b/>
        </w:rPr>
      </w:pPr>
      <w:r w:rsidRPr="002B2346">
        <w:rPr>
          <w:b/>
        </w:rPr>
        <w:t>3.10.1-25</w:t>
      </w:r>
      <w:r w:rsidRPr="002B2346">
        <w:rPr>
          <w:b/>
        </w:rPr>
        <w:tab/>
        <w:t>Novation and Change-Of-Name Agreements (October 2007)</w:t>
      </w:r>
    </w:p>
    <w:p w14:paraId="4D263D17" w14:textId="77777777" w:rsidR="00AF0198" w:rsidRPr="002B2346" w:rsidRDefault="00AF0198" w:rsidP="00AF0198">
      <w:pPr>
        <w:spacing w:before="0" w:beforeAutospacing="0" w:after="0" w:afterAutospacing="0"/>
        <w:ind w:left="1440" w:hanging="1440"/>
        <w:rPr>
          <w:b/>
        </w:rPr>
      </w:pPr>
      <w:r w:rsidRPr="002B2346">
        <w:rPr>
          <w:b/>
          <w:bCs/>
        </w:rPr>
        <w:t xml:space="preserve">3.10.4-4 </w:t>
      </w:r>
      <w:r w:rsidRPr="002B2346">
        <w:rPr>
          <w:b/>
          <w:bCs/>
        </w:rPr>
        <w:tab/>
        <w:t>Inspection of Services - Both Fixed-Price &amp; Cost Reimbursement</w:t>
      </w:r>
      <w:r w:rsidRPr="002B2346">
        <w:t xml:space="preserve"> </w:t>
      </w:r>
      <w:r w:rsidRPr="002B2346">
        <w:rPr>
          <w:b/>
        </w:rPr>
        <w:t>(April 1996)</w:t>
      </w:r>
    </w:p>
    <w:p w14:paraId="4F0267DB" w14:textId="77777777" w:rsidR="000A2070" w:rsidRPr="002B2346" w:rsidRDefault="000A2070" w:rsidP="00AF0198">
      <w:pPr>
        <w:spacing w:before="0" w:beforeAutospacing="0" w:after="0" w:afterAutospacing="0"/>
        <w:ind w:left="1440" w:hanging="1440"/>
        <w:rPr>
          <w:b/>
        </w:rPr>
      </w:pPr>
      <w:r w:rsidRPr="002B2346">
        <w:rPr>
          <w:b/>
        </w:rPr>
        <w:t>3.10.6-1</w:t>
      </w:r>
      <w:r w:rsidRPr="002B2346">
        <w:rPr>
          <w:b/>
        </w:rPr>
        <w:tab/>
        <w:t>Termination for Convenience of the Government (Fixed Price) (October 1996)</w:t>
      </w:r>
    </w:p>
    <w:p w14:paraId="2A5727DC" w14:textId="77777777" w:rsidR="000A2070" w:rsidRPr="002B2346" w:rsidRDefault="00E62956" w:rsidP="00AF0198">
      <w:pPr>
        <w:spacing w:before="0" w:beforeAutospacing="0" w:after="0" w:afterAutospacing="0"/>
        <w:ind w:left="1440" w:hanging="1440"/>
        <w:rPr>
          <w:b/>
        </w:rPr>
      </w:pPr>
      <w:r w:rsidRPr="002B2346">
        <w:rPr>
          <w:b/>
        </w:rPr>
        <w:t>3.10.6-4</w:t>
      </w:r>
      <w:r w:rsidRPr="002B2346">
        <w:rPr>
          <w:b/>
        </w:rPr>
        <w:tab/>
        <w:t>Default (Fixed-Price Supply and Service) (October 1996)</w:t>
      </w:r>
    </w:p>
    <w:p w14:paraId="6CA0DA97" w14:textId="77777777" w:rsidR="00E62956" w:rsidRPr="002B2346" w:rsidRDefault="00E62956" w:rsidP="00AF0198">
      <w:pPr>
        <w:spacing w:before="0" w:beforeAutospacing="0" w:after="0" w:afterAutospacing="0"/>
        <w:ind w:left="1440" w:hanging="1440"/>
        <w:rPr>
          <w:b/>
        </w:rPr>
      </w:pPr>
      <w:r w:rsidRPr="002B2346">
        <w:rPr>
          <w:b/>
        </w:rPr>
        <w:lastRenderedPageBreak/>
        <w:t>3.13-5</w:t>
      </w:r>
      <w:r w:rsidRPr="002B2346">
        <w:rPr>
          <w:b/>
        </w:rPr>
        <w:tab/>
        <w:t>Seat Belt Use by Contractor Employees (October 2001)</w:t>
      </w:r>
    </w:p>
    <w:p w14:paraId="71EED17B" w14:textId="77777777" w:rsidR="00E62956" w:rsidRPr="002B2346" w:rsidRDefault="00E62956" w:rsidP="00AF0198">
      <w:pPr>
        <w:spacing w:before="0" w:beforeAutospacing="0" w:after="0" w:afterAutospacing="0"/>
        <w:ind w:left="1440" w:hanging="1440"/>
        <w:rPr>
          <w:b/>
        </w:rPr>
      </w:pPr>
      <w:r w:rsidRPr="002B2346">
        <w:rPr>
          <w:b/>
        </w:rPr>
        <w:t>3.13-13</w:t>
      </w:r>
      <w:r w:rsidRPr="002B2346">
        <w:rPr>
          <w:b/>
        </w:rPr>
        <w:tab/>
        <w:t>Contractor Policy to Ban Text Messaging While Driving (January 2011)</w:t>
      </w:r>
    </w:p>
    <w:p w14:paraId="71E75AD6" w14:textId="77777777" w:rsidR="00E62956" w:rsidRPr="002B2346" w:rsidRDefault="00E62956" w:rsidP="00AF0198">
      <w:pPr>
        <w:spacing w:before="0" w:beforeAutospacing="0" w:after="0" w:afterAutospacing="0"/>
        <w:ind w:left="1440" w:hanging="1440"/>
        <w:rPr>
          <w:b/>
        </w:rPr>
      </w:pPr>
      <w:r w:rsidRPr="002B2346">
        <w:rPr>
          <w:b/>
        </w:rPr>
        <w:t xml:space="preserve">3.13-15 </w:t>
      </w:r>
      <w:r w:rsidRPr="002B2346">
        <w:rPr>
          <w:b/>
        </w:rPr>
        <w:tab/>
        <w:t>Confidentiality of Data and Information (October 2011)</w:t>
      </w:r>
    </w:p>
    <w:p w14:paraId="5394A705" w14:textId="77777777" w:rsidR="00E62956" w:rsidRPr="00AF0198" w:rsidRDefault="00E62956" w:rsidP="00AF0198">
      <w:pPr>
        <w:spacing w:before="0" w:beforeAutospacing="0" w:after="0" w:afterAutospacing="0"/>
        <w:ind w:left="1440" w:hanging="1440"/>
        <w:rPr>
          <w:b/>
          <w:color w:val="FF0000"/>
        </w:rPr>
      </w:pPr>
    </w:p>
    <w:p w14:paraId="08D85E96" w14:textId="77777777" w:rsidR="00E559AC" w:rsidRDefault="00E559AC" w:rsidP="00D14968">
      <w:pPr>
        <w:spacing w:before="0" w:beforeAutospacing="0" w:after="0" w:afterAutospacing="0"/>
        <w:rPr>
          <w:b/>
          <w:sz w:val="22"/>
          <w:szCs w:val="22"/>
        </w:rPr>
      </w:pPr>
    </w:p>
    <w:p w14:paraId="7ED59AF2" w14:textId="77777777" w:rsidR="00F04358" w:rsidRPr="00AF0198" w:rsidRDefault="00F04358" w:rsidP="00D14968">
      <w:pPr>
        <w:pStyle w:val="NormalWeb"/>
        <w:spacing w:before="0" w:beforeAutospacing="0" w:after="0" w:afterAutospacing="0"/>
        <w:rPr>
          <w:b/>
          <w:bCs/>
          <w:u w:val="single"/>
        </w:rPr>
      </w:pPr>
      <w:r w:rsidRPr="00AF0198">
        <w:rPr>
          <w:b/>
          <w:bCs/>
          <w:u w:val="single"/>
        </w:rPr>
        <w:t xml:space="preserve">Attachments: </w:t>
      </w:r>
    </w:p>
    <w:p w14:paraId="63A6391D" w14:textId="77777777" w:rsidR="00DD73C3" w:rsidRDefault="00DD73C3" w:rsidP="00AF0198">
      <w:pPr>
        <w:pStyle w:val="NormalWeb"/>
        <w:numPr>
          <w:ilvl w:val="0"/>
          <w:numId w:val="22"/>
        </w:numPr>
        <w:spacing w:before="0" w:beforeAutospacing="0" w:after="0" w:afterAutospacing="0"/>
        <w:rPr>
          <w:b/>
          <w:bCs/>
        </w:rPr>
      </w:pPr>
      <w:r>
        <w:rPr>
          <w:b/>
          <w:bCs/>
        </w:rPr>
        <w:t>Appraisal Standards/ Guidance</w:t>
      </w:r>
    </w:p>
    <w:p w14:paraId="7AE9E978" w14:textId="77777777" w:rsidR="00DD73C3" w:rsidRDefault="00DD73C3" w:rsidP="00AF0198">
      <w:pPr>
        <w:pStyle w:val="NormalWeb"/>
        <w:numPr>
          <w:ilvl w:val="0"/>
          <w:numId w:val="22"/>
        </w:numPr>
        <w:spacing w:before="0" w:beforeAutospacing="0" w:after="0" w:afterAutospacing="0"/>
        <w:rPr>
          <w:b/>
          <w:bCs/>
        </w:rPr>
      </w:pPr>
      <w:r>
        <w:rPr>
          <w:b/>
          <w:bCs/>
        </w:rPr>
        <w:t>FAA Project Statement of Work (SOW)</w:t>
      </w:r>
    </w:p>
    <w:p w14:paraId="7AAE9BEC" w14:textId="77777777" w:rsidR="00AF0198" w:rsidRDefault="00AF0198" w:rsidP="00D14968">
      <w:pPr>
        <w:pStyle w:val="NormalWeb"/>
        <w:spacing w:before="0" w:beforeAutospacing="0" w:after="0" w:afterAutospacing="0"/>
        <w:rPr>
          <w:b/>
          <w:bCs/>
        </w:rPr>
      </w:pPr>
    </w:p>
    <w:p w14:paraId="17A0AC31" w14:textId="77777777" w:rsidR="003548C6" w:rsidRDefault="00AF0198" w:rsidP="00AF0198">
      <w:pPr>
        <w:pStyle w:val="Heading1"/>
        <w:numPr>
          <w:ilvl w:val="0"/>
          <w:numId w:val="0"/>
        </w:numPr>
        <w:spacing w:before="0" w:beforeAutospacing="0" w:after="0" w:afterAutospacing="0"/>
      </w:pPr>
      <w:r w:rsidRPr="00AF0198">
        <w:rPr>
          <w:u w:val="none"/>
        </w:rPr>
        <w:t>1</w:t>
      </w:r>
      <w:r w:rsidR="007B330A">
        <w:rPr>
          <w:u w:val="none"/>
        </w:rPr>
        <w:t>3</w:t>
      </w:r>
      <w:r w:rsidRPr="00AF0198">
        <w:rPr>
          <w:u w:val="none"/>
        </w:rPr>
        <w:t>.</w:t>
      </w:r>
      <w:r w:rsidRPr="00AF0198">
        <w:rPr>
          <w:u w:val="none"/>
        </w:rPr>
        <w:tab/>
      </w:r>
      <w:r w:rsidR="003548C6">
        <w:t>Signatures:</w:t>
      </w:r>
    </w:p>
    <w:p w14:paraId="09FA863B" w14:textId="77777777" w:rsidR="003548C6" w:rsidRDefault="003548C6" w:rsidP="00D14968">
      <w:pPr>
        <w:pStyle w:val="NormalWeb"/>
        <w:spacing w:before="0" w:beforeAutospacing="0" w:after="0" w:afterAutospacing="0"/>
      </w:pPr>
      <w:r>
        <w:t>The Government and the Contractor agree to the provisions of the contract as indicated by the signatures of their dully-authorized representatives.</w:t>
      </w:r>
    </w:p>
    <w:p w14:paraId="6AFC4246" w14:textId="77777777" w:rsidR="003548C6" w:rsidRDefault="00611DF6" w:rsidP="003548C6">
      <w:pPr>
        <w:pStyle w:val="NormalWeb"/>
      </w:pPr>
      <w:r>
        <w:t xml:space="preserve">&lt; </w:t>
      </w:r>
      <w:r w:rsidR="00186034" w:rsidRPr="002B2346">
        <w:rPr>
          <w:i/>
          <w:highlight w:val="darkGray"/>
          <w:u w:val="single"/>
        </w:rPr>
        <w:t>Insert</w:t>
      </w:r>
      <w:r w:rsidRPr="002B2346">
        <w:rPr>
          <w:i/>
          <w:highlight w:val="darkGray"/>
          <w:u w:val="single"/>
        </w:rPr>
        <w:t xml:space="preserve"> </w:t>
      </w:r>
      <w:r w:rsidR="00186034" w:rsidRPr="002B2346">
        <w:rPr>
          <w:i/>
          <w:highlight w:val="darkGray"/>
          <w:u w:val="single"/>
        </w:rPr>
        <w:t>Appraiser/</w:t>
      </w:r>
      <w:r w:rsidRPr="002B2346">
        <w:rPr>
          <w:i/>
          <w:highlight w:val="darkGray"/>
          <w:u w:val="single"/>
        </w:rPr>
        <w:t>Appraisal Firm’s Name</w:t>
      </w:r>
      <w:r>
        <w:rPr>
          <w:i/>
          <w:u w:val="single"/>
        </w:rPr>
        <w:t>&gt;</w:t>
      </w:r>
      <w:r w:rsidR="003548C6">
        <w:t>   United States of America</w:t>
      </w:r>
    </w:p>
    <w:p w14:paraId="6A876426" w14:textId="77777777" w:rsidR="003548C6" w:rsidRDefault="003548C6" w:rsidP="003548C6">
      <w:pPr>
        <w:pStyle w:val="NormalWeb"/>
      </w:pPr>
      <w:r>
        <w:t xml:space="preserve">________________________                        </w:t>
      </w:r>
      <w:r w:rsidR="00186034">
        <w:t xml:space="preserve">   </w:t>
      </w:r>
      <w:r>
        <w:t>______________________</w:t>
      </w:r>
    </w:p>
    <w:p w14:paraId="6719F539" w14:textId="77777777" w:rsidR="003548C6" w:rsidRDefault="003548C6" w:rsidP="003548C6">
      <w:pPr>
        <w:pStyle w:val="NormalWeb"/>
      </w:pPr>
      <w:r>
        <w:t>(Signature and date)                                          (Signature and date)</w:t>
      </w:r>
    </w:p>
    <w:p w14:paraId="69E1695D" w14:textId="77777777" w:rsidR="003548C6" w:rsidRDefault="003548C6" w:rsidP="003548C6">
      <w:pPr>
        <w:pStyle w:val="NormalWeb"/>
      </w:pPr>
      <w:r>
        <w:t> _________________________                    </w:t>
      </w:r>
      <w:r w:rsidR="00186034">
        <w:t xml:space="preserve">  </w:t>
      </w:r>
      <w:r>
        <w:t>  ________________________</w:t>
      </w:r>
    </w:p>
    <w:p w14:paraId="698191AC" w14:textId="77777777" w:rsidR="00A44FAA" w:rsidRDefault="00A44FAA" w:rsidP="00A44FAA">
      <w:pPr>
        <w:pStyle w:val="NormalWeb"/>
      </w:pPr>
      <w:r>
        <w:t>(Official title)                                                     (Official title)</w:t>
      </w:r>
    </w:p>
    <w:p w14:paraId="2ABE71D1" w14:textId="77777777" w:rsidR="00B02B3B" w:rsidRDefault="00B02B3B" w:rsidP="00B02B3B">
      <w:pPr>
        <w:pStyle w:val="NormalWeb"/>
        <w:rPr>
          <w:b/>
          <w:bCs/>
        </w:rPr>
        <w:sectPr w:rsidR="00B02B3B" w:rsidSect="00186034">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titlePg/>
          <w:docGrid w:linePitch="360"/>
        </w:sectPr>
      </w:pPr>
    </w:p>
    <w:p w14:paraId="67211BD7" w14:textId="77777777" w:rsidR="001E4F98" w:rsidRDefault="001E4F98" w:rsidP="003548C6">
      <w:pPr>
        <w:pStyle w:val="NormalWeb"/>
        <w:jc w:val="center"/>
        <w:rPr>
          <w:b/>
          <w:bCs/>
        </w:rPr>
      </w:pPr>
      <w:r>
        <w:rPr>
          <w:b/>
          <w:bCs/>
        </w:rPr>
        <w:lastRenderedPageBreak/>
        <w:t>EXHIBIT A</w:t>
      </w:r>
    </w:p>
    <w:p w14:paraId="7C35FACB" w14:textId="77777777" w:rsidR="00DD73C3" w:rsidRDefault="00DD73C3" w:rsidP="003548C6">
      <w:pPr>
        <w:pStyle w:val="NormalWeb"/>
        <w:jc w:val="center"/>
        <w:rPr>
          <w:b/>
          <w:bCs/>
        </w:rPr>
      </w:pPr>
      <w:r>
        <w:rPr>
          <w:b/>
          <w:bCs/>
        </w:rPr>
        <w:t>APPRAISAL STANDARDS</w:t>
      </w:r>
      <w:r w:rsidR="001C660B">
        <w:rPr>
          <w:b/>
          <w:bCs/>
        </w:rPr>
        <w:t xml:space="preserve"> AND </w:t>
      </w:r>
      <w:r>
        <w:rPr>
          <w:b/>
          <w:bCs/>
        </w:rPr>
        <w:t>GUIDANCE</w:t>
      </w:r>
    </w:p>
    <w:p w14:paraId="6124F7C0" w14:textId="7B2A5515" w:rsidR="00A44FAA" w:rsidRPr="002B2346" w:rsidRDefault="00A44FAA" w:rsidP="00A44FAA">
      <w:pPr>
        <w:pStyle w:val="NormalWeb"/>
        <w:rPr>
          <w:b/>
        </w:rPr>
      </w:pPr>
      <w:r>
        <w:rPr>
          <w:b/>
          <w:bCs/>
        </w:rPr>
        <w:t xml:space="preserve">The following items are intended to </w:t>
      </w:r>
      <w:r w:rsidR="004E2BB0" w:rsidRPr="004E2BB0">
        <w:rPr>
          <w:b/>
          <w:bCs/>
        </w:rPr>
        <w:t>highlight</w:t>
      </w:r>
      <w:r>
        <w:rPr>
          <w:b/>
          <w:bCs/>
        </w:rPr>
        <w:t xml:space="preserve"> specific areas of Yellow Book </w:t>
      </w:r>
      <w:r w:rsidR="004E2BB0" w:rsidRPr="004E2BB0">
        <w:rPr>
          <w:b/>
          <w:bCs/>
        </w:rPr>
        <w:t xml:space="preserve">compliance, </w:t>
      </w:r>
      <w:r>
        <w:rPr>
          <w:b/>
          <w:bCs/>
        </w:rPr>
        <w:t>and are not intended to be all-inclusive</w:t>
      </w:r>
      <w:r w:rsidRPr="002B2346">
        <w:rPr>
          <w:b/>
        </w:rPr>
        <w:t>.</w:t>
      </w:r>
      <w:r w:rsidR="00B02B3B">
        <w:rPr>
          <w:b/>
        </w:rPr>
        <w:t xml:space="preserve"> T</w:t>
      </w:r>
      <w:r w:rsidR="004E2BB0" w:rsidRPr="004E2BB0">
        <w:rPr>
          <w:b/>
        </w:rPr>
        <w:t xml:space="preserve">he Contractor is ultimately responsible for </w:t>
      </w:r>
      <w:r w:rsidR="004E2BB0">
        <w:rPr>
          <w:b/>
        </w:rPr>
        <w:t>the</w:t>
      </w:r>
      <w:r w:rsidR="004E2BB0" w:rsidRPr="004E2BB0">
        <w:rPr>
          <w:b/>
        </w:rPr>
        <w:t xml:space="preserve"> compliance</w:t>
      </w:r>
      <w:r w:rsidR="004E2BB0">
        <w:rPr>
          <w:b/>
        </w:rPr>
        <w:t xml:space="preserve"> of the appraisal</w:t>
      </w:r>
      <w:r w:rsidR="004E2BB0" w:rsidRPr="004E2BB0">
        <w:rPr>
          <w:b/>
        </w:rPr>
        <w:t xml:space="preserve"> with both USPAP and Yellow Book</w:t>
      </w:r>
      <w:r w:rsidR="004E2BB0">
        <w:rPr>
          <w:b/>
        </w:rPr>
        <w:t xml:space="preserve"> Standards</w:t>
      </w:r>
      <w:r w:rsidR="004E2BB0" w:rsidRPr="004E2BB0">
        <w:rPr>
          <w:b/>
        </w:rPr>
        <w:t>.</w:t>
      </w:r>
    </w:p>
    <w:p w14:paraId="33A687AB" w14:textId="77777777" w:rsidR="004E2BB0" w:rsidRPr="004E2BB0" w:rsidRDefault="004E2BB0" w:rsidP="00805EE8">
      <w:pPr>
        <w:pStyle w:val="Heading1"/>
        <w:numPr>
          <w:ilvl w:val="0"/>
          <w:numId w:val="0"/>
        </w:numPr>
      </w:pPr>
      <w:r w:rsidRPr="004E2BB0">
        <w:t>Appraisal</w:t>
      </w:r>
      <w:r>
        <w:t xml:space="preserve"> </w:t>
      </w:r>
      <w:r w:rsidR="001C660B">
        <w:t>R</w:t>
      </w:r>
      <w:r w:rsidR="001C660B" w:rsidRPr="004E2BB0">
        <w:t>eport:</w:t>
      </w:r>
    </w:p>
    <w:p w14:paraId="747F0393" w14:textId="4066303B" w:rsidR="004E2BB0" w:rsidRDefault="00A44FAA" w:rsidP="004E2BB0">
      <w:pPr>
        <w:pStyle w:val="NormalWeb"/>
        <w:numPr>
          <w:ilvl w:val="0"/>
          <w:numId w:val="7"/>
        </w:numPr>
      </w:pPr>
      <w:r>
        <w:t xml:space="preserve">The property should be </w:t>
      </w:r>
      <w:r w:rsidR="00671E60">
        <w:t xml:space="preserve">clearly </w:t>
      </w:r>
      <w:r>
        <w:t>identified on the front cover</w:t>
      </w:r>
      <w:r w:rsidR="00B02B3B">
        <w:t xml:space="preserve"> and </w:t>
      </w:r>
      <w:r>
        <w:t xml:space="preserve">title page </w:t>
      </w:r>
      <w:r w:rsidR="00B02B3B">
        <w:t>of</w:t>
      </w:r>
      <w:r>
        <w:t xml:space="preserve"> the appraisal report.</w:t>
      </w:r>
    </w:p>
    <w:p w14:paraId="47B901FB" w14:textId="77777777" w:rsidR="001C660B" w:rsidRDefault="001C660B" w:rsidP="001C660B">
      <w:pPr>
        <w:pStyle w:val="NormalWeb"/>
        <w:numPr>
          <w:ilvl w:val="0"/>
          <w:numId w:val="7"/>
        </w:numPr>
      </w:pPr>
      <w:r>
        <w:t>The report should have an executive summary page which highlights the important factual data.</w:t>
      </w:r>
    </w:p>
    <w:p w14:paraId="71F1997C" w14:textId="2B5525EB" w:rsidR="004E2BB0" w:rsidRDefault="00A44FAA" w:rsidP="004E2BB0">
      <w:pPr>
        <w:pStyle w:val="NormalWeb"/>
        <w:numPr>
          <w:ilvl w:val="0"/>
          <w:numId w:val="7"/>
        </w:numPr>
      </w:pPr>
      <w:r>
        <w:t xml:space="preserve">The conclusion </w:t>
      </w:r>
      <w:r w:rsidR="00671E60">
        <w:t xml:space="preserve">of value </w:t>
      </w:r>
      <w:r>
        <w:t xml:space="preserve">should be an estimated value per </w:t>
      </w:r>
      <w:r w:rsidR="00671E60">
        <w:t>unit (</w:t>
      </w:r>
      <w:r>
        <w:t>acre</w:t>
      </w:r>
      <w:r w:rsidR="00671E60">
        <w:t>/ sf)</w:t>
      </w:r>
      <w:r>
        <w:t xml:space="preserve"> and per tract</w:t>
      </w:r>
      <w:r w:rsidR="00A8449C">
        <w:t>.</w:t>
      </w:r>
    </w:p>
    <w:p w14:paraId="6241666D" w14:textId="1B84000F" w:rsidR="00A44FAA" w:rsidRDefault="004E2BB0" w:rsidP="002B2346">
      <w:pPr>
        <w:pStyle w:val="NormalWeb"/>
        <w:numPr>
          <w:ilvl w:val="0"/>
          <w:numId w:val="7"/>
        </w:numPr>
      </w:pPr>
      <w:r>
        <w:t>The p</w:t>
      </w:r>
      <w:r w:rsidR="00671E60">
        <w:t>roperty</w:t>
      </w:r>
      <w:r w:rsidR="00DD73C3">
        <w:t xml:space="preserve"> legal description</w:t>
      </w:r>
      <w:r w:rsidR="00671E60">
        <w:t xml:space="preserve"> and </w:t>
      </w:r>
      <w:r w:rsidR="00A44FAA">
        <w:t>survey</w:t>
      </w:r>
      <w:r w:rsidR="00671E60">
        <w:t xml:space="preserve"> </w:t>
      </w:r>
      <w:r w:rsidR="00AB6FEC">
        <w:t xml:space="preserve">drawing </w:t>
      </w:r>
      <w:r>
        <w:t xml:space="preserve">should be </w:t>
      </w:r>
      <w:r w:rsidR="00AB6FEC">
        <w:t>incorporated into</w:t>
      </w:r>
      <w:r>
        <w:t xml:space="preserve"> the report</w:t>
      </w:r>
      <w:r w:rsidR="00A44FAA">
        <w:t>.</w:t>
      </w:r>
    </w:p>
    <w:p w14:paraId="02035019" w14:textId="3202FE9D" w:rsidR="00A44FAA" w:rsidRDefault="00A44FAA" w:rsidP="002B2346">
      <w:pPr>
        <w:pStyle w:val="Heading1"/>
        <w:numPr>
          <w:ilvl w:val="0"/>
          <w:numId w:val="9"/>
        </w:numPr>
      </w:pPr>
      <w:r w:rsidRPr="009C66D8">
        <w:t>Contractor Personnel:</w:t>
      </w:r>
    </w:p>
    <w:p w14:paraId="54248328" w14:textId="37EEAB98" w:rsidR="00A44FAA" w:rsidRDefault="00A44FAA" w:rsidP="00A44FAA">
      <w:pPr>
        <w:pStyle w:val="NormalWeb"/>
      </w:pPr>
      <w:r>
        <w:t xml:space="preserve">The </w:t>
      </w:r>
      <w:r w:rsidR="00671E60">
        <w:t>qualifications</w:t>
      </w:r>
      <w:r>
        <w:t xml:space="preserve"> of the appraiser and all individuals providing professional assistance to the appraiser must be included in the addenda of the appraisal report. </w:t>
      </w:r>
    </w:p>
    <w:p w14:paraId="17C87897" w14:textId="5A39C8E6" w:rsidR="00A44FAA" w:rsidRDefault="00A44FAA" w:rsidP="00A44FAA">
      <w:pPr>
        <w:pStyle w:val="NormalWeb"/>
      </w:pPr>
      <w:r>
        <w:t>The appraiser(s) performing services shall be certified/</w:t>
      </w:r>
      <w:r w:rsidR="009A4F98">
        <w:t xml:space="preserve"> </w:t>
      </w:r>
      <w:r>
        <w:t>registered in accordance with Title XI of the 1989 Financial Institutions Reform, Recovery and Enhancement Act (FIRREA), Public Law 101-73.  That certification/registration shall not have been revoked, suspended, canceled or restricted.</w:t>
      </w:r>
    </w:p>
    <w:p w14:paraId="7F4566D3" w14:textId="6BB75CC4" w:rsidR="00217B68" w:rsidRDefault="00217B68" w:rsidP="00805EE8">
      <w:pPr>
        <w:pStyle w:val="Heading1"/>
      </w:pPr>
      <w:r>
        <w:t>Definitions</w:t>
      </w:r>
    </w:p>
    <w:p w14:paraId="2486ACC9" w14:textId="77777777" w:rsidR="00217B68" w:rsidRDefault="00217B68" w:rsidP="00217B68">
      <w:bookmarkStart w:id="7" w:name="_Toc320623803"/>
      <w:r w:rsidRPr="00E7290C">
        <w:rPr>
          <w:u w:val="single"/>
        </w:rPr>
        <w:t>Credible</w:t>
      </w:r>
      <w:r>
        <w:t xml:space="preserve"> is defined in the 2016-2017</w:t>
      </w:r>
      <w:r w:rsidRPr="00655544">
        <w:t>, National Uniform Standards of Appraisal Practice (USPAP) as:</w:t>
      </w:r>
      <w:r>
        <w:t xml:space="preserve"> </w:t>
      </w:r>
      <w:r w:rsidRPr="00655544">
        <w:t>“</w:t>
      </w:r>
      <w:r w:rsidRPr="00F57779">
        <w:rPr>
          <w:i/>
        </w:rPr>
        <w:t>Worthy of belief</w:t>
      </w:r>
      <w:r w:rsidRPr="00655544">
        <w:t>”</w:t>
      </w:r>
      <w:r>
        <w:t xml:space="preserve">.  </w:t>
      </w:r>
    </w:p>
    <w:p w14:paraId="5D9F5649" w14:textId="77777777" w:rsidR="00217B68" w:rsidRDefault="00217B68" w:rsidP="00217B68">
      <w:r w:rsidRPr="00E7290C">
        <w:rPr>
          <w:u w:val="single"/>
        </w:rPr>
        <w:t>Market Value</w:t>
      </w:r>
      <w:r w:rsidRPr="005E5684">
        <w:t xml:space="preserve"> is defined by the Uniform Appraisal Standards for Federal Land Acquisitions as follows: </w:t>
      </w:r>
      <w:r w:rsidRPr="009B0842">
        <w:t>“</w:t>
      </w:r>
      <w:r w:rsidRPr="00F57779">
        <w:rPr>
          <w:i/>
        </w:rPr>
        <w:t>Market Value is the amount in cash, or on the terms reasonably equivalent to cash, for which in all probability the property would have sold on the effective date of the appraisal, after a reasonable exposure time on the open competitive market, from a willing and reasonably knowledgeable seller to a willing and reasonably knowledgeable buyer, with neither acting under and compulsion to buy</w:t>
      </w:r>
      <w:r>
        <w:rPr>
          <w:i/>
        </w:rPr>
        <w:t xml:space="preserve"> </w:t>
      </w:r>
      <w:r w:rsidRPr="00F57779">
        <w:rPr>
          <w:i/>
        </w:rPr>
        <w:t>or sell, giving due consideration to all available economic uses of the property at the time of the appraisal</w:t>
      </w:r>
      <w:r w:rsidRPr="009B0842">
        <w:t>”.</w:t>
      </w:r>
    </w:p>
    <w:p w14:paraId="44BE225C" w14:textId="77777777" w:rsidR="00217B68" w:rsidRDefault="00217B68" w:rsidP="00217B68">
      <w:pPr>
        <w:rPr>
          <w:i/>
        </w:rPr>
      </w:pPr>
      <w:r>
        <w:lastRenderedPageBreak/>
        <w:t>A</w:t>
      </w:r>
      <w:r w:rsidRPr="00655544">
        <w:t xml:space="preserve">s defined in The Dictionary of Real Estate Appraisal, </w:t>
      </w:r>
      <w:r>
        <w:t>Fifth</w:t>
      </w:r>
      <w:r w:rsidRPr="00655544">
        <w:t xml:space="preserve"> Edition; </w:t>
      </w:r>
      <w:r w:rsidRPr="008B4BC5">
        <w:rPr>
          <w:u w:val="single"/>
        </w:rPr>
        <w:t>Market Rent</w:t>
      </w:r>
      <w:r w:rsidRPr="008B4BC5">
        <w:t xml:space="preserve"> is</w:t>
      </w:r>
      <w:r>
        <w:t xml:space="preserve">; </w:t>
      </w:r>
      <w:r>
        <w:rPr>
          <w:i/>
        </w:rPr>
        <w:t>T</w:t>
      </w:r>
      <w:r w:rsidRPr="00F57779">
        <w:rPr>
          <w:i/>
        </w:rPr>
        <w:t>he most probable rent that a property should bring in a competitive and open market reflecting all conditions and restrictions of the lease agreement</w:t>
      </w:r>
      <w:r>
        <w:rPr>
          <w:i/>
        </w:rPr>
        <w:t>, i</w:t>
      </w:r>
      <w:r w:rsidRPr="00F57779">
        <w:rPr>
          <w:i/>
        </w:rPr>
        <w:t>ncluding</w:t>
      </w:r>
      <w:r>
        <w:rPr>
          <w:i/>
        </w:rPr>
        <w:t xml:space="preserve"> </w:t>
      </w:r>
      <w:r w:rsidRPr="00F57779">
        <w:rPr>
          <w:i/>
        </w:rPr>
        <w:t>permitted uses, use restrictions, and expense obligation</w:t>
      </w:r>
      <w:r>
        <w:rPr>
          <w:i/>
        </w:rPr>
        <w:t>, term, concessions, renewal and purchase options, and tenant improvements (TIs)</w:t>
      </w:r>
      <w:r w:rsidRPr="00F57779">
        <w:rPr>
          <w:i/>
        </w:rPr>
        <w:t>.</w:t>
      </w:r>
    </w:p>
    <w:bookmarkEnd w:id="7"/>
    <w:p w14:paraId="26475A86" w14:textId="5F08D97F" w:rsidR="00A44FAA" w:rsidRDefault="00A44FAA" w:rsidP="002B2346">
      <w:pPr>
        <w:pStyle w:val="Heading1"/>
      </w:pPr>
      <w:r w:rsidRPr="009C66D8">
        <w:t>Statement of Assumptions and Limiting Conditions:</w:t>
      </w:r>
    </w:p>
    <w:p w14:paraId="4D38F638" w14:textId="77777777" w:rsidR="00A8449C" w:rsidRDefault="0027197C" w:rsidP="00E57FA7">
      <w:r w:rsidRPr="003A4516">
        <w:t xml:space="preserve">In order to cite an </w:t>
      </w:r>
      <w:r w:rsidR="00E57FA7" w:rsidRPr="003A4516">
        <w:t>Extraordinary A</w:t>
      </w:r>
      <w:r w:rsidRPr="003A4516">
        <w:t>ssumption</w:t>
      </w:r>
      <w:r w:rsidR="00AB6FEC">
        <w:t>,</w:t>
      </w:r>
      <w:r w:rsidR="00D103EF">
        <w:t xml:space="preserve"> it must be required to develop a credible opinion or conclusion; there is reasonable basis for the extraordinary assumption; the use of the extraordinary assumption results in a credible analysis; the appraiser complies with </w:t>
      </w:r>
      <w:r w:rsidR="001C660B">
        <w:t>disclosure requirements</w:t>
      </w:r>
      <w:r w:rsidR="00D103EF">
        <w:t xml:space="preserve"> of USPAP</w:t>
      </w:r>
      <w:r w:rsidR="00D103EF" w:rsidRPr="003A4516">
        <w:t xml:space="preserve"> and clearly </w:t>
      </w:r>
      <w:r w:rsidR="00D103EF">
        <w:t>disclosed</w:t>
      </w:r>
      <w:r w:rsidR="00D103EF" w:rsidRPr="003A4516">
        <w:t xml:space="preserve"> </w:t>
      </w:r>
      <w:r w:rsidR="001C660B">
        <w:t xml:space="preserve">it </w:t>
      </w:r>
      <w:r w:rsidR="00D103EF" w:rsidRPr="003A4516">
        <w:t>in</w:t>
      </w:r>
      <w:r w:rsidR="00D103EF">
        <w:t xml:space="preserve"> a section of the</w:t>
      </w:r>
      <w:r w:rsidR="00D103EF" w:rsidRPr="003A4516">
        <w:t xml:space="preserve"> report </w:t>
      </w:r>
      <w:r w:rsidR="0086151F">
        <w:t xml:space="preserve">which is </w:t>
      </w:r>
      <w:r w:rsidR="00D103EF">
        <w:t xml:space="preserve">labeled as Extraordinary Assumption/s. </w:t>
      </w:r>
      <w:r w:rsidR="00E57FA7" w:rsidRPr="003A4516">
        <w:t xml:space="preserve"> </w:t>
      </w:r>
    </w:p>
    <w:p w14:paraId="1D4A912C" w14:textId="77777777" w:rsidR="00E57FA7" w:rsidRPr="003A4516" w:rsidRDefault="00D103EF" w:rsidP="00E57FA7">
      <w:r>
        <w:t xml:space="preserve">A </w:t>
      </w:r>
      <w:r w:rsidR="00E57FA7" w:rsidRPr="003A4516">
        <w:t>Hypothetical C</w:t>
      </w:r>
      <w:r w:rsidR="00B02B3B">
        <w:t>ondition</w:t>
      </w:r>
      <w:r w:rsidR="0027197C" w:rsidRPr="003A4516">
        <w:t xml:space="preserve"> </w:t>
      </w:r>
      <w:r w:rsidR="00E57FA7" w:rsidRPr="003A4516">
        <w:t>must</w:t>
      </w:r>
      <w:r w:rsidR="0027197C" w:rsidRPr="003A4516">
        <w:t xml:space="preserve"> first</w:t>
      </w:r>
      <w:r w:rsidR="00E57FA7" w:rsidRPr="003A4516">
        <w:t xml:space="preserve"> be a condition of the assignment</w:t>
      </w:r>
      <w:r w:rsidR="003A4516" w:rsidRPr="003A4516">
        <w:t>,</w:t>
      </w:r>
      <w:r w:rsidR="00E57FA7" w:rsidRPr="003A4516">
        <w:t xml:space="preserve"> and</w:t>
      </w:r>
      <w:r w:rsidR="0027197C" w:rsidRPr="003A4516">
        <w:t xml:space="preserve"> second</w:t>
      </w:r>
      <w:r w:rsidR="00E57FA7" w:rsidRPr="003A4516">
        <w:t xml:space="preserve"> be clearly </w:t>
      </w:r>
      <w:r>
        <w:t>disclosed</w:t>
      </w:r>
      <w:r w:rsidR="00E57FA7" w:rsidRPr="003A4516">
        <w:t xml:space="preserve"> in</w:t>
      </w:r>
      <w:r w:rsidR="00BC1903">
        <w:t xml:space="preserve"> </w:t>
      </w:r>
      <w:r w:rsidR="00611DF6">
        <w:t xml:space="preserve">an </w:t>
      </w:r>
      <w:r w:rsidR="00BC1903">
        <w:t>a</w:t>
      </w:r>
      <w:r w:rsidR="00AB6FEC">
        <w:t>pplicable</w:t>
      </w:r>
      <w:r w:rsidR="00BC1903">
        <w:t xml:space="preserve"> section of the</w:t>
      </w:r>
      <w:r w:rsidR="00E57FA7" w:rsidRPr="003A4516">
        <w:t xml:space="preserve"> report </w:t>
      </w:r>
      <w:r w:rsidR="0086151F">
        <w:t>distinctly</w:t>
      </w:r>
      <w:r w:rsidR="0086151F" w:rsidDel="0086151F">
        <w:t xml:space="preserve"> </w:t>
      </w:r>
      <w:r w:rsidR="00BC1903">
        <w:t>labeled as Hypothetical Condition/s.</w:t>
      </w:r>
    </w:p>
    <w:p w14:paraId="3542C0C8" w14:textId="4035CB50" w:rsidR="00A44FAA" w:rsidRDefault="00BC1903" w:rsidP="002B2346">
      <w:r w:rsidRPr="003A4516">
        <w:t xml:space="preserve">It </w:t>
      </w:r>
      <w:r w:rsidR="00A44FAA">
        <w:t xml:space="preserve">is unacceptable to state that </w:t>
      </w:r>
      <w:r w:rsidR="001C660B">
        <w:t>“</w:t>
      </w:r>
      <w:r w:rsidR="00A44FAA">
        <w:t xml:space="preserve">the property has been appraised as if free and clear of all encumbrances </w:t>
      </w:r>
      <w:r w:rsidR="00A44FAA" w:rsidRPr="002B2346">
        <w:t>except as stated in the body of the report</w:t>
      </w:r>
      <w:r w:rsidR="001C660B" w:rsidRPr="00805EE8">
        <w:rPr>
          <w:bCs/>
          <w:iCs/>
        </w:rPr>
        <w:t>”</w:t>
      </w:r>
      <w:r w:rsidRPr="00AF4255">
        <w:t>;</w:t>
      </w:r>
      <w:r w:rsidRPr="003A4516">
        <w:t xml:space="preserve"> </w:t>
      </w:r>
      <w:r w:rsidR="00AB6FEC">
        <w:t>all</w:t>
      </w:r>
      <w:r w:rsidR="00A44FAA">
        <w:t xml:space="preserve"> encumbrances </w:t>
      </w:r>
      <w:r w:rsidR="00A44FAA" w:rsidRPr="002B2346">
        <w:rPr>
          <w:b/>
        </w:rPr>
        <w:t>must</w:t>
      </w:r>
      <w:r w:rsidR="00A44FAA">
        <w:t xml:space="preserve"> be identified in </w:t>
      </w:r>
      <w:r>
        <w:t>the Assumption</w:t>
      </w:r>
      <w:r w:rsidR="001C660B">
        <w:t>/s</w:t>
      </w:r>
      <w:r>
        <w:t xml:space="preserve"> and Limiting Conditions</w:t>
      </w:r>
      <w:r w:rsidRPr="003A4516">
        <w:t xml:space="preserve"> </w:t>
      </w:r>
      <w:r>
        <w:t>portion</w:t>
      </w:r>
      <w:r w:rsidR="00A44FAA">
        <w:t xml:space="preserve"> of the report</w:t>
      </w:r>
      <w:r w:rsidR="009A4F98">
        <w:t xml:space="preserve">. </w:t>
      </w:r>
    </w:p>
    <w:p w14:paraId="5CEA8B13" w14:textId="3AE07BE6" w:rsidR="00A44FAA" w:rsidRDefault="00A44FAA" w:rsidP="00A44FAA">
      <w:pPr>
        <w:pStyle w:val="NormalWeb"/>
      </w:pPr>
      <w:r>
        <w:t xml:space="preserve">Avoid “boilerplate” language that may not apply to the subject property.  Do not use this area to present unauthorized hypothetical conditions, assumptions or limiting conditions.  Adoption of uninstructed assumptions or hypothetical conditions may result in an estimate other than “as is” market </w:t>
      </w:r>
      <w:r w:rsidR="00A8449C">
        <w:t>value</w:t>
      </w:r>
      <w:r>
        <w:t xml:space="preserve"> and thereby </w:t>
      </w:r>
      <w:r w:rsidR="009A4F98">
        <w:t>may invalidate</w:t>
      </w:r>
      <w:r>
        <w:t xml:space="preserve"> the appraisal for government acquisition purposes.</w:t>
      </w:r>
    </w:p>
    <w:p w14:paraId="2CE6509D" w14:textId="50FDF8E6" w:rsidR="00A44FAA" w:rsidRDefault="00A44FAA" w:rsidP="002B2346">
      <w:pPr>
        <w:pStyle w:val="Heading1"/>
      </w:pPr>
      <w:r w:rsidRPr="009C66D8">
        <w:t>Scope</w:t>
      </w:r>
      <w:r w:rsidR="004E2BB0">
        <w:t xml:space="preserve"> of Work</w:t>
      </w:r>
      <w:r w:rsidRPr="009C66D8">
        <w:t>:</w:t>
      </w:r>
    </w:p>
    <w:p w14:paraId="1AAF626A" w14:textId="015715BE" w:rsidR="00A44FAA" w:rsidRDefault="00A44FAA" w:rsidP="00A44FAA">
      <w:pPr>
        <w:pStyle w:val="NormalWeb"/>
      </w:pPr>
      <w:r>
        <w:t>Report development should include</w:t>
      </w:r>
      <w:r w:rsidR="00144559">
        <w:t xml:space="preserve"> the following</w:t>
      </w:r>
      <w:r>
        <w:t>, as appropriate:</w:t>
      </w:r>
    </w:p>
    <w:p w14:paraId="555F4C01" w14:textId="3A42814C" w:rsidR="00A44FAA" w:rsidRDefault="00A44FAA" w:rsidP="00A44FAA">
      <w:pPr>
        <w:pStyle w:val="NormalWeb"/>
      </w:pPr>
      <w:r w:rsidRPr="002B2346">
        <w:rPr>
          <w:u w:val="single"/>
        </w:rPr>
        <w:t>Inspect, photograph, and research the subject</w:t>
      </w:r>
      <w:r>
        <w:t xml:space="preserve"> property to identify dimensions, spatial relationships, nature of construction, observable conditions, and other physical, locational, and environmental factors affecting the subject;</w:t>
      </w:r>
    </w:p>
    <w:p w14:paraId="04E9DB37" w14:textId="2467101C" w:rsidR="00144559" w:rsidRDefault="00A44FAA" w:rsidP="00217B68">
      <w:pPr>
        <w:pStyle w:val="NormalWeb"/>
      </w:pPr>
      <w:r w:rsidRPr="002B2346">
        <w:rPr>
          <w:u w:val="single"/>
        </w:rPr>
        <w:t xml:space="preserve">Research and </w:t>
      </w:r>
      <w:r w:rsidR="00144559" w:rsidRPr="00805EE8">
        <w:rPr>
          <w:u w:val="single"/>
        </w:rPr>
        <w:t xml:space="preserve">analyze </w:t>
      </w:r>
      <w:r w:rsidR="007E4147" w:rsidRPr="00805EE8">
        <w:rPr>
          <w:u w:val="single"/>
        </w:rPr>
        <w:t>data necessary</w:t>
      </w:r>
      <w:r w:rsidR="00144559" w:rsidRPr="00805EE8">
        <w:rPr>
          <w:u w:val="single"/>
        </w:rPr>
        <w:t xml:space="preserve"> to develop credible assignment results</w:t>
      </w:r>
      <w:r w:rsidR="007E4147">
        <w:t>,</w:t>
      </w:r>
      <w:r w:rsidR="00B02B3B">
        <w:t xml:space="preserve"> including:</w:t>
      </w:r>
    </w:p>
    <w:p w14:paraId="43F3B7DA" w14:textId="115112AB" w:rsidR="00A44FAA" w:rsidRDefault="00F9631E" w:rsidP="002B2346">
      <w:pPr>
        <w:pStyle w:val="NormalWeb"/>
        <w:numPr>
          <w:ilvl w:val="0"/>
          <w:numId w:val="5"/>
        </w:numPr>
      </w:pPr>
      <w:r>
        <w:t>P</w:t>
      </w:r>
      <w:r w:rsidR="00144559">
        <w:t>rimary r</w:t>
      </w:r>
      <w:r w:rsidR="000C1B57">
        <w:t>esearch</w:t>
      </w:r>
      <w:r w:rsidR="00144559">
        <w:t xml:space="preserve"> with</w:t>
      </w:r>
      <w:r w:rsidR="000C1B57">
        <w:t xml:space="preserve"> </w:t>
      </w:r>
      <w:r w:rsidR="008F619D">
        <w:t>governmental</w:t>
      </w:r>
      <w:r w:rsidR="000C1B57">
        <w:t xml:space="preserve"> </w:t>
      </w:r>
      <w:r w:rsidR="00A44FAA">
        <w:t xml:space="preserve">authorities to identify </w:t>
      </w:r>
      <w:r w:rsidR="008F619D">
        <w:t>applicable zoning, building code, taxation</w:t>
      </w:r>
      <w:r w:rsidR="000C1B57">
        <w:t xml:space="preserve">, </w:t>
      </w:r>
      <w:r w:rsidR="008F619D">
        <w:t>utility</w:t>
      </w:r>
      <w:r w:rsidR="00A44FAA">
        <w:t xml:space="preserve"> availability</w:t>
      </w:r>
      <w:r w:rsidR="000C1B57">
        <w:t>,</w:t>
      </w:r>
      <w:r w:rsidR="00A44FAA">
        <w:t xml:space="preserve"> and </w:t>
      </w:r>
      <w:r w:rsidR="008F619D">
        <w:t>deed and lease history</w:t>
      </w:r>
      <w:r w:rsidR="00A44FAA">
        <w:t>;</w:t>
      </w:r>
    </w:p>
    <w:p w14:paraId="77E0F8D7" w14:textId="3CF04F41" w:rsidR="00A44FAA" w:rsidRDefault="003A4516" w:rsidP="002B2346">
      <w:pPr>
        <w:pStyle w:val="NormalWeb"/>
        <w:numPr>
          <w:ilvl w:val="0"/>
          <w:numId w:val="5"/>
        </w:numPr>
      </w:pPr>
      <w:r>
        <w:t>National and</w:t>
      </w:r>
      <w:r w:rsidR="00A44FAA">
        <w:t xml:space="preserve"> local sources </w:t>
      </w:r>
      <w:r w:rsidR="008F619D">
        <w:t>of</w:t>
      </w:r>
      <w:r w:rsidR="000C1B57">
        <w:t xml:space="preserve"> </w:t>
      </w:r>
      <w:r w:rsidR="00A44FAA">
        <w:t xml:space="preserve">economic, demographic, and </w:t>
      </w:r>
      <w:r>
        <w:t>investment</w:t>
      </w:r>
      <w:r w:rsidR="00A44FAA">
        <w:t xml:space="preserve"> trends </w:t>
      </w:r>
      <w:r w:rsidR="008F619D">
        <w:t>influencing</w:t>
      </w:r>
      <w:r w:rsidR="000C1B57">
        <w:t xml:space="preserve"> </w:t>
      </w:r>
      <w:r w:rsidR="008F619D">
        <w:t>real property</w:t>
      </w:r>
      <w:r w:rsidR="00A44FAA">
        <w:t xml:space="preserve"> value;</w:t>
      </w:r>
    </w:p>
    <w:p w14:paraId="0CB7375C" w14:textId="5E12CF6D" w:rsidR="00A44FAA" w:rsidRDefault="003A4516" w:rsidP="002B2346">
      <w:pPr>
        <w:pStyle w:val="NormalWeb"/>
        <w:numPr>
          <w:ilvl w:val="0"/>
          <w:numId w:val="5"/>
        </w:numPr>
      </w:pPr>
      <w:r>
        <w:t xml:space="preserve">Market participants in the </w:t>
      </w:r>
      <w:r w:rsidR="00F9631E">
        <w:t>R</w:t>
      </w:r>
      <w:r w:rsidR="000C1B57">
        <w:t xml:space="preserve">eal </w:t>
      </w:r>
      <w:r>
        <w:t>E</w:t>
      </w:r>
      <w:r w:rsidR="000C1B57">
        <w:t>state</w:t>
      </w:r>
      <w:r>
        <w:t xml:space="preserve"> market including</w:t>
      </w:r>
      <w:r w:rsidR="008F619D">
        <w:t xml:space="preserve"> investors,</w:t>
      </w:r>
      <w:r w:rsidR="00A44FAA">
        <w:t xml:space="preserve"> brokers, developers, </w:t>
      </w:r>
      <w:r w:rsidR="00F9631E">
        <w:t xml:space="preserve">property </w:t>
      </w:r>
      <w:r w:rsidR="00A44FAA">
        <w:t>managers and appraisers</w:t>
      </w:r>
      <w:r w:rsidR="00EE1E98">
        <w:t xml:space="preserve">. </w:t>
      </w:r>
      <w:r>
        <w:t>Data may</w:t>
      </w:r>
      <w:r w:rsidR="008F619D">
        <w:t xml:space="preserve"> include</w:t>
      </w:r>
      <w:r w:rsidR="00A44FAA">
        <w:t xml:space="preserve"> the </w:t>
      </w:r>
      <w:r>
        <w:t>C</w:t>
      </w:r>
      <w:r w:rsidR="000C1B57">
        <w:t>ontractor’s</w:t>
      </w:r>
      <w:r w:rsidR="00A44FAA">
        <w:t xml:space="preserve"> </w:t>
      </w:r>
      <w:r w:rsidR="00A44FAA">
        <w:lastRenderedPageBreak/>
        <w:t xml:space="preserve">own </w:t>
      </w:r>
      <w:r w:rsidR="00D84361">
        <w:t xml:space="preserve">data and </w:t>
      </w:r>
      <w:r w:rsidR="00A44FAA">
        <w:t xml:space="preserve">files </w:t>
      </w:r>
      <w:r w:rsidR="00D84361">
        <w:t>including</w:t>
      </w:r>
      <w:r w:rsidR="00A44FAA">
        <w:t xml:space="preserve"> market data</w:t>
      </w:r>
      <w:r w:rsidR="008F619D">
        <w:t>,</w:t>
      </w:r>
      <w:r w:rsidR="00A44FAA">
        <w:t xml:space="preserve"> comparable sales, comparable rents, vacancy levels, operating costs, construction costs, depreciation rates, etc.;</w:t>
      </w:r>
    </w:p>
    <w:p w14:paraId="6BD3836F" w14:textId="4C043BC6" w:rsidR="00A44FAA" w:rsidRDefault="00EE1E98" w:rsidP="002B2346">
      <w:pPr>
        <w:pStyle w:val="NormalWeb"/>
        <w:numPr>
          <w:ilvl w:val="0"/>
          <w:numId w:val="5"/>
        </w:numPr>
      </w:pPr>
      <w:r>
        <w:t>National and</w:t>
      </w:r>
      <w:r w:rsidR="00A44FAA">
        <w:t xml:space="preserve"> local real estate lending sources </w:t>
      </w:r>
      <w:r>
        <w:t>and</w:t>
      </w:r>
      <w:r w:rsidR="00A44FAA">
        <w:t xml:space="preserve"> market </w:t>
      </w:r>
      <w:r>
        <w:t xml:space="preserve">survey data to </w:t>
      </w:r>
      <w:r w:rsidR="00C6569A">
        <w:t>identify capitalization</w:t>
      </w:r>
      <w:r>
        <w:t xml:space="preserve">, discount, and lending </w:t>
      </w:r>
      <w:r w:rsidR="000C1B57">
        <w:t>rate</w:t>
      </w:r>
      <w:r>
        <w:t>s for the assignment’s property type</w:t>
      </w:r>
      <w:r w:rsidR="00B02B3B">
        <w:t>.</w:t>
      </w:r>
    </w:p>
    <w:p w14:paraId="56553C7F" w14:textId="77777777" w:rsidR="00DB284D" w:rsidRDefault="00DB284D" w:rsidP="00217B68">
      <w:r w:rsidRPr="00805EE8">
        <w:rPr>
          <w:u w:val="single"/>
        </w:rPr>
        <w:t>Determine the most probable Highest and Best Use</w:t>
      </w:r>
      <w:r>
        <w:t xml:space="preserve"> of the subject based upon current and historical market behavior and conditions, and the most probable buyer of the subject in the current market. Hold for future development is not considered an acceptable Highest &amp; Best Use;</w:t>
      </w:r>
    </w:p>
    <w:p w14:paraId="1EFECAD3" w14:textId="77777777" w:rsidR="002E0CCB" w:rsidRDefault="002E0CCB" w:rsidP="00217B68">
      <w:r w:rsidRPr="00805EE8">
        <w:rPr>
          <w:u w:val="single"/>
        </w:rPr>
        <w:t>Identify the larger parcel</w:t>
      </w:r>
      <w:r w:rsidR="00C6569A">
        <w:t xml:space="preserve"> based upon it</w:t>
      </w:r>
      <w:r>
        <w:t>s the most probable size (should correspond with the Highest and Best Use Analysis</w:t>
      </w:r>
      <w:r w:rsidR="00DB284D">
        <w:t>);</w:t>
      </w:r>
    </w:p>
    <w:p w14:paraId="2FB7CFB4" w14:textId="77777777" w:rsidR="00DB284D" w:rsidRDefault="002E0CCB" w:rsidP="00217B68">
      <w:r w:rsidRPr="00805EE8">
        <w:rPr>
          <w:u w:val="single"/>
        </w:rPr>
        <w:t xml:space="preserve">Research, select, inspect and </w:t>
      </w:r>
      <w:r w:rsidR="00144559" w:rsidRPr="00805EE8">
        <w:rPr>
          <w:u w:val="single"/>
        </w:rPr>
        <w:t>select</w:t>
      </w:r>
      <w:r w:rsidRPr="00805EE8">
        <w:rPr>
          <w:u w:val="single"/>
        </w:rPr>
        <w:t xml:space="preserve"> appropriate comparable sales</w:t>
      </w:r>
      <w:r>
        <w:t xml:space="preserve"> based upon the </w:t>
      </w:r>
      <w:r w:rsidR="00144559">
        <w:t>indicated</w:t>
      </w:r>
      <w:r w:rsidR="00A8449C">
        <w:t xml:space="preserve"> Highest and Best U</w:t>
      </w:r>
      <w:r>
        <w:t xml:space="preserve">se and </w:t>
      </w:r>
      <w:r w:rsidR="00967FDF">
        <w:t xml:space="preserve">identified </w:t>
      </w:r>
      <w:r>
        <w:t>larger parcel</w:t>
      </w:r>
      <w:r w:rsidR="00DB284D">
        <w:t>;</w:t>
      </w:r>
      <w:r w:rsidR="002B6798">
        <w:t xml:space="preserve"> independent</w:t>
      </w:r>
      <w:r w:rsidR="00B02B3B">
        <w:t>ly verify sales comparable data;</w:t>
      </w:r>
    </w:p>
    <w:p w14:paraId="6758319F" w14:textId="570AA57C" w:rsidR="00A44FAA" w:rsidRDefault="002E0CCB" w:rsidP="002B2346">
      <w:r w:rsidRPr="00805EE8">
        <w:rPr>
          <w:u w:val="single"/>
        </w:rPr>
        <w:t xml:space="preserve">Develop </w:t>
      </w:r>
      <w:r w:rsidR="00DB284D" w:rsidRPr="00805EE8">
        <w:rPr>
          <w:u w:val="single"/>
        </w:rPr>
        <w:t xml:space="preserve">a </w:t>
      </w:r>
      <w:r w:rsidR="00144559" w:rsidRPr="00805EE8">
        <w:rPr>
          <w:u w:val="single"/>
        </w:rPr>
        <w:t>credible</w:t>
      </w:r>
      <w:r w:rsidRPr="00805EE8">
        <w:rPr>
          <w:u w:val="single"/>
        </w:rPr>
        <w:t xml:space="preserve"> opinion of value</w:t>
      </w:r>
      <w:r>
        <w:t xml:space="preserve">, and report the opinion in a </w:t>
      </w:r>
      <w:r w:rsidR="007E4147">
        <w:t xml:space="preserve">USPAP/ </w:t>
      </w:r>
      <w:r>
        <w:t>Yellow Book compliant</w:t>
      </w:r>
      <w:r w:rsidR="00A44FAA">
        <w:t xml:space="preserve"> appraisal report</w:t>
      </w:r>
      <w:r w:rsidR="00B02B3B">
        <w:t>;</w:t>
      </w:r>
    </w:p>
    <w:p w14:paraId="0A63D2DE" w14:textId="77777777" w:rsidR="00DB284D" w:rsidRDefault="00DB284D" w:rsidP="00217B68">
      <w:r w:rsidRPr="00805EE8">
        <w:rPr>
          <w:u w:val="single"/>
        </w:rPr>
        <w:t>Provide sufficient detail</w:t>
      </w:r>
      <w:r w:rsidR="0098563A">
        <w:t xml:space="preserve"> with</w:t>
      </w:r>
      <w:r>
        <w:t>in the report for the reader to understand</w:t>
      </w:r>
      <w:r w:rsidR="0098563A">
        <w:t xml:space="preserve"> the context and logic used to arrive at the opinion of value, and </w:t>
      </w:r>
      <w:r w:rsidR="00D84361">
        <w:t xml:space="preserve">arrive at the </w:t>
      </w:r>
      <w:r w:rsidR="0098563A">
        <w:t>determination of damages or benefits if appropriate.</w:t>
      </w:r>
    </w:p>
    <w:p w14:paraId="3D748252" w14:textId="4E7B68A7" w:rsidR="00A44FAA" w:rsidRDefault="00A44FAA" w:rsidP="002B2346">
      <w:pPr>
        <w:pStyle w:val="Heading1"/>
      </w:pPr>
      <w:r w:rsidRPr="009C66D8">
        <w:t>Purpose of the Appraisal:</w:t>
      </w:r>
    </w:p>
    <w:p w14:paraId="21DE357F" w14:textId="7B4D58C9" w:rsidR="00A44FAA" w:rsidRDefault="00EA2FA5" w:rsidP="00A44FAA">
      <w:pPr>
        <w:pStyle w:val="NormalWeb"/>
      </w:pPr>
      <w:r>
        <w:t>This report should comply with USPAP Standard’s Rule 2-2 and at a minimum s</w:t>
      </w:r>
      <w:r w:rsidR="00D103EF">
        <w:t xml:space="preserve">tate </w:t>
      </w:r>
      <w:r>
        <w:t>the client, intended user, intended use, real property i</w:t>
      </w:r>
      <w:r w:rsidR="00D103EF">
        <w:t xml:space="preserve">nterest </w:t>
      </w:r>
      <w:r>
        <w:t>a</w:t>
      </w:r>
      <w:r w:rsidR="00D103EF">
        <w:t>ppraised</w:t>
      </w:r>
      <w:r>
        <w:t xml:space="preserve">, definitions of value, </w:t>
      </w:r>
      <w:r w:rsidR="00C74F82">
        <w:t xml:space="preserve">the </w:t>
      </w:r>
      <w:r>
        <w:t xml:space="preserve">effective date and </w:t>
      </w:r>
      <w:r w:rsidR="00C74F82">
        <w:t xml:space="preserve">the </w:t>
      </w:r>
      <w:r>
        <w:t>report date.</w:t>
      </w:r>
      <w:r w:rsidR="00D103EF">
        <w:t xml:space="preserve"> </w:t>
      </w:r>
      <w:r w:rsidR="00A44FAA">
        <w:t xml:space="preserve">Your report will </w:t>
      </w:r>
      <w:r w:rsidR="00D103EF">
        <w:t xml:space="preserve">be used to </w:t>
      </w:r>
      <w:r w:rsidR="00A44FAA">
        <w:t xml:space="preserve">facilitate decision-making </w:t>
      </w:r>
      <w:r w:rsidR="00D103EF">
        <w:t>by</w:t>
      </w:r>
      <w:r w:rsidR="00A44FAA">
        <w:t xml:space="preserve"> the Federal Aviation Administration (the Intended User of the report).  </w:t>
      </w:r>
      <w:r w:rsidR="00611DF6">
        <w:t>The</w:t>
      </w:r>
      <w:r w:rsidR="00A44FAA">
        <w:t xml:space="preserve"> subject property </w:t>
      </w:r>
      <w:r>
        <w:t>may be</w:t>
      </w:r>
      <w:r w:rsidR="00A44FAA">
        <w:t xml:space="preserve"> for </w:t>
      </w:r>
      <w:r w:rsidR="00611DF6">
        <w:t xml:space="preserve">a </w:t>
      </w:r>
      <w:r w:rsidR="00A44FAA">
        <w:t xml:space="preserve">potential </w:t>
      </w:r>
      <w:r w:rsidR="00611DF6">
        <w:t xml:space="preserve">lease, easement or </w:t>
      </w:r>
      <w:r w:rsidR="00A44FAA">
        <w:t xml:space="preserve">acquisition </w:t>
      </w:r>
      <w:r w:rsidR="00611DF6">
        <w:t>as defined</w:t>
      </w:r>
      <w:r w:rsidR="00A44FAA">
        <w:t xml:space="preserve"> in </w:t>
      </w:r>
      <w:r w:rsidR="00611DF6">
        <w:t>the assignment’s Statement</w:t>
      </w:r>
      <w:r w:rsidR="00A44FAA">
        <w:t xml:space="preserve"> of </w:t>
      </w:r>
      <w:r w:rsidR="00611DF6">
        <w:t>Work</w:t>
      </w:r>
      <w:r w:rsidR="00A44FAA">
        <w:t>.</w:t>
      </w:r>
    </w:p>
    <w:p w14:paraId="64B70381" w14:textId="61541F3D" w:rsidR="00A44FAA" w:rsidRDefault="00A44FAA" w:rsidP="002B2346">
      <w:pPr>
        <w:pStyle w:val="Heading1"/>
      </w:pPr>
      <w:r w:rsidRPr="009C66D8">
        <w:t>Appraisal Standards:</w:t>
      </w:r>
    </w:p>
    <w:p w14:paraId="5C0E58CF" w14:textId="733F49B0" w:rsidR="00A44FAA" w:rsidRDefault="00A44FAA" w:rsidP="00A44FAA">
      <w:pPr>
        <w:pStyle w:val="NormalWeb"/>
      </w:pPr>
      <w:r>
        <w:t xml:space="preserve">The Uniform Standards for Professional Appraisal Practice (USPAP) require appraisers and clients to ascertain whether any supplemental standards, in addition to USPAP, apply </w:t>
      </w:r>
      <w:r w:rsidR="00EA2FA5">
        <w:t>to</w:t>
      </w:r>
      <w:r>
        <w:t xml:space="preserve"> the assignment being considered.  This assignment will be completed in compliance with:</w:t>
      </w:r>
    </w:p>
    <w:p w14:paraId="3EBB07C1" w14:textId="77777777" w:rsidR="00A44FAA" w:rsidRDefault="00A44FAA">
      <w:pPr>
        <w:numPr>
          <w:ilvl w:val="0"/>
          <w:numId w:val="1"/>
        </w:numPr>
      </w:pPr>
      <w:r>
        <w:t>USPAP</w:t>
      </w:r>
    </w:p>
    <w:p w14:paraId="2D71DB16" w14:textId="77777777" w:rsidR="00A44FAA" w:rsidRDefault="00A44FAA">
      <w:pPr>
        <w:numPr>
          <w:ilvl w:val="0"/>
          <w:numId w:val="1"/>
        </w:numPr>
      </w:pPr>
      <w:r>
        <w:t>Yellow Book</w:t>
      </w:r>
    </w:p>
    <w:p w14:paraId="75491BD1" w14:textId="7C639156" w:rsidR="00A44FAA" w:rsidRDefault="00B02B3B">
      <w:pPr>
        <w:numPr>
          <w:ilvl w:val="0"/>
          <w:numId w:val="1"/>
        </w:numPr>
      </w:pPr>
      <w:r>
        <w:t>Assignment specific</w:t>
      </w:r>
      <w:r w:rsidR="00A44FAA">
        <w:t xml:space="preserve"> instructions</w:t>
      </w:r>
    </w:p>
    <w:p w14:paraId="10BD29C0" w14:textId="77777777" w:rsidR="00A44FAA" w:rsidRDefault="00A44FAA" w:rsidP="00A44FAA">
      <w:pPr>
        <w:pStyle w:val="NormalWeb"/>
      </w:pPr>
      <w:r>
        <w:lastRenderedPageBreak/>
        <w:t>You are to complete this appraisal assignment in strict conformance with these instructions and standards.  It should be noted that in some cases these instructions might demand greater detail, discussion, and support than the requirements found in general specifications.  Include these instructions in the addenda of your report.</w:t>
      </w:r>
    </w:p>
    <w:p w14:paraId="3AADD1AB" w14:textId="77777777" w:rsidR="000C1B57" w:rsidRDefault="0027197C" w:rsidP="00805EE8">
      <w:pPr>
        <w:pStyle w:val="Heading1"/>
      </w:pPr>
      <w:r>
        <w:t>Factual Data</w:t>
      </w:r>
      <w:r w:rsidR="000C1B57">
        <w:t>:</w:t>
      </w:r>
    </w:p>
    <w:p w14:paraId="29F16114" w14:textId="6DAF03B4" w:rsidR="00A44FAA" w:rsidRDefault="0027197C" w:rsidP="00A44FAA">
      <w:pPr>
        <w:pStyle w:val="NormalWeb"/>
      </w:pPr>
      <w:r w:rsidRPr="004E2BB0">
        <w:rPr>
          <w:b/>
        </w:rPr>
        <w:t>Legal</w:t>
      </w:r>
      <w:r>
        <w:t xml:space="preserve">: </w:t>
      </w:r>
      <w:r w:rsidR="00A44FAA">
        <w:t xml:space="preserve">Cite the legal description(s) and descriptions of the estate to be appraised identical to the way they are supplied by FAA.  If for any reason these descriptions appear to be inaccurate or incomplete, notify the </w:t>
      </w:r>
      <w:r w:rsidR="00C74F82">
        <w:t xml:space="preserve">Real Estate </w:t>
      </w:r>
      <w:r w:rsidR="00A44FAA">
        <w:t>Contracting Officer for</w:t>
      </w:r>
      <w:r w:rsidR="000C1B57">
        <w:t xml:space="preserve"> </w:t>
      </w:r>
      <w:r w:rsidR="00C74F82">
        <w:t>a</w:t>
      </w:r>
      <w:r w:rsidR="00A44FAA">
        <w:t xml:space="preserve"> resolution.</w:t>
      </w:r>
    </w:p>
    <w:p w14:paraId="5332656D" w14:textId="77777777" w:rsidR="0027197C" w:rsidRDefault="0027197C" w:rsidP="00217B68">
      <w:pPr>
        <w:pStyle w:val="NormalWeb"/>
      </w:pPr>
      <w:r w:rsidRPr="004E2BB0">
        <w:rPr>
          <w:b/>
        </w:rPr>
        <w:t>Area/ City and Neighborhood</w:t>
      </w:r>
      <w:r>
        <w:t xml:space="preserve">: </w:t>
      </w:r>
      <w:r w:rsidR="0074330C">
        <w:t xml:space="preserve">Discuss the area, city and neighborhood with an appropriate level of detail </w:t>
      </w:r>
      <w:r w:rsidR="00C74F82">
        <w:t xml:space="preserve">for </w:t>
      </w:r>
      <w:r w:rsidR="0074330C">
        <w:t xml:space="preserve">a reader unfamiliar with the subject’s market to have basic understanding of the </w:t>
      </w:r>
      <w:r w:rsidR="00A8449C">
        <w:t>regional</w:t>
      </w:r>
      <w:r w:rsidR="00C74F82">
        <w:t xml:space="preserve"> and local </w:t>
      </w:r>
      <w:r w:rsidR="0074330C">
        <w:t>locational influencers.</w:t>
      </w:r>
    </w:p>
    <w:p w14:paraId="2C2601CD" w14:textId="77E84DC9" w:rsidR="00A44FAA" w:rsidRDefault="0027197C" w:rsidP="00A44FAA">
      <w:pPr>
        <w:pStyle w:val="NormalWeb"/>
      </w:pPr>
      <w:r w:rsidRPr="004E2BB0">
        <w:rPr>
          <w:b/>
        </w:rPr>
        <w:t>Site</w:t>
      </w:r>
      <w:r>
        <w:t>:</w:t>
      </w:r>
      <w:r w:rsidR="0074330C">
        <w:t xml:space="preserve"> Describe</w:t>
      </w:r>
      <w:r w:rsidR="00A44FAA">
        <w:t xml:space="preserve"> the legal </w:t>
      </w:r>
      <w:r w:rsidR="00C74F82">
        <w:t>(zoning),</w:t>
      </w:r>
      <w:r w:rsidR="00A44FAA">
        <w:t xml:space="preserve"> physical</w:t>
      </w:r>
      <w:r w:rsidR="00C74F82">
        <w:t>, accessibility and visibility (if appropriate</w:t>
      </w:r>
      <w:r w:rsidR="00A44FAA">
        <w:t xml:space="preserve">) to the subject in </w:t>
      </w:r>
      <w:r w:rsidR="00C74F82">
        <w:t xml:space="preserve">sufficient </w:t>
      </w:r>
      <w:r w:rsidR="000C1B57">
        <w:t>detail.</w:t>
      </w:r>
      <w:r w:rsidR="00C74F82">
        <w:t xml:space="preserve"> Address the availability of utilities and or/ municipal services</w:t>
      </w:r>
      <w:r w:rsidR="00A44FAA">
        <w:t>.</w:t>
      </w:r>
    </w:p>
    <w:p w14:paraId="00A9D7F3" w14:textId="77777777" w:rsidR="0027197C" w:rsidRDefault="0027197C" w:rsidP="00217B68">
      <w:pPr>
        <w:pStyle w:val="NormalWeb"/>
      </w:pPr>
      <w:r w:rsidRPr="004E2BB0">
        <w:rPr>
          <w:b/>
        </w:rPr>
        <w:t>Improvements</w:t>
      </w:r>
      <w:r>
        <w:t>:</w:t>
      </w:r>
      <w:r w:rsidR="007224BF">
        <w:t xml:space="preserve"> Describe</w:t>
      </w:r>
      <w:r w:rsidR="00C74F82">
        <w:t xml:space="preserve"> the</w:t>
      </w:r>
      <w:r w:rsidR="007224BF">
        <w:t xml:space="preserve"> property </w:t>
      </w:r>
      <w:r w:rsidR="00290B89">
        <w:t>improvements; i</w:t>
      </w:r>
      <w:r w:rsidR="00C74F82">
        <w:t>f the improvements are owned by the Government</w:t>
      </w:r>
      <w:r w:rsidR="00B02B3B">
        <w:t>,</w:t>
      </w:r>
      <w:r w:rsidR="00C74F82">
        <w:t xml:space="preserve"> </w:t>
      </w:r>
      <w:r w:rsidR="0000282F">
        <w:t xml:space="preserve">you </w:t>
      </w:r>
      <w:r w:rsidR="00B02B3B">
        <w:t>will</w:t>
      </w:r>
      <w:r w:rsidR="0000282F">
        <w:t xml:space="preserve"> </w:t>
      </w:r>
      <w:r w:rsidR="00290B89">
        <w:t>describe</w:t>
      </w:r>
      <w:r w:rsidR="00C74F82">
        <w:t xml:space="preserve"> the improvements as </w:t>
      </w:r>
      <w:r w:rsidR="00D62167">
        <w:t>being owned by the Government.</w:t>
      </w:r>
    </w:p>
    <w:p w14:paraId="491FDE87" w14:textId="5D8D0060" w:rsidR="00A44FAA" w:rsidRDefault="0027197C" w:rsidP="00A44FAA">
      <w:pPr>
        <w:pStyle w:val="NormalWeb"/>
      </w:pPr>
      <w:r w:rsidRPr="004E2BB0">
        <w:rPr>
          <w:b/>
        </w:rPr>
        <w:t>Use</w:t>
      </w:r>
      <w:r w:rsidR="00EA2FA5" w:rsidRPr="004E2BB0">
        <w:rPr>
          <w:b/>
        </w:rPr>
        <w:t>,</w:t>
      </w:r>
      <w:r w:rsidR="004E2BB0">
        <w:rPr>
          <w:b/>
        </w:rPr>
        <w:t xml:space="preserve"> S</w:t>
      </w:r>
      <w:r w:rsidRPr="004E2BB0">
        <w:rPr>
          <w:b/>
        </w:rPr>
        <w:t>ales</w:t>
      </w:r>
      <w:r w:rsidR="00EA2FA5" w:rsidRPr="004E2BB0">
        <w:rPr>
          <w:b/>
        </w:rPr>
        <w:t xml:space="preserve"> and </w:t>
      </w:r>
      <w:r w:rsidR="004E2BB0">
        <w:rPr>
          <w:b/>
        </w:rPr>
        <w:t>Leasing H</w:t>
      </w:r>
      <w:r w:rsidRPr="004E2BB0">
        <w:rPr>
          <w:b/>
        </w:rPr>
        <w:t>istory</w:t>
      </w:r>
      <w:r w:rsidR="007224BF">
        <w:t>: Describe the current use</w:t>
      </w:r>
      <w:r w:rsidR="00BB70CD">
        <w:t xml:space="preserve"> of the property</w:t>
      </w:r>
      <w:r w:rsidR="00290B89">
        <w:t xml:space="preserve">, </w:t>
      </w:r>
      <w:r w:rsidR="00BB70CD">
        <w:t xml:space="preserve">the </w:t>
      </w:r>
      <w:r w:rsidR="00A44FAA">
        <w:t>10</w:t>
      </w:r>
      <w:r w:rsidR="007224BF">
        <w:t>-</w:t>
      </w:r>
      <w:r w:rsidR="00A44FAA">
        <w:t>year history of all sales</w:t>
      </w:r>
      <w:r w:rsidR="00BB70CD">
        <w:t>,</w:t>
      </w:r>
      <w:r w:rsidR="00A44FAA">
        <w:t xml:space="preserve"> offers to sell</w:t>
      </w:r>
      <w:r w:rsidR="00BB70CD">
        <w:t>,</w:t>
      </w:r>
      <w:r w:rsidR="00A44FAA">
        <w:t xml:space="preserve"> current </w:t>
      </w:r>
      <w:r w:rsidR="00BB70CD">
        <w:t xml:space="preserve">contracts </w:t>
      </w:r>
      <w:r w:rsidR="00290B89">
        <w:t>and/</w:t>
      </w:r>
      <w:r w:rsidR="00A44FAA">
        <w:t xml:space="preserve"> or options </w:t>
      </w:r>
      <w:r w:rsidR="00BB70CD">
        <w:t xml:space="preserve">to sell. Describe </w:t>
      </w:r>
      <w:r w:rsidR="007224BF">
        <w:t xml:space="preserve">the </w:t>
      </w:r>
      <w:r w:rsidR="00A44FAA">
        <w:t>last sale of the property</w:t>
      </w:r>
      <w:r w:rsidR="007224BF">
        <w:t xml:space="preserve"> and</w:t>
      </w:r>
      <w:r w:rsidR="00A44FAA">
        <w:t xml:space="preserve"> its relevance to current market value </w:t>
      </w:r>
      <w:r w:rsidR="00A44FAA">
        <w:rPr>
          <w:u w:val="single"/>
        </w:rPr>
        <w:t>regardless of the date of sale</w:t>
      </w:r>
      <w:r w:rsidR="00A44FAA">
        <w:t>.</w:t>
      </w:r>
      <w:r w:rsidR="00BB70CD">
        <w:t xml:space="preserve"> Describe the </w:t>
      </w:r>
      <w:r w:rsidR="007224BF">
        <w:t>leasing history</w:t>
      </w:r>
      <w:r w:rsidR="00BB70CD">
        <w:t xml:space="preserve"> for the past 3</w:t>
      </w:r>
      <w:r w:rsidR="00290B89">
        <w:t xml:space="preserve"> or more </w:t>
      </w:r>
      <w:r w:rsidR="00BB70CD">
        <w:t>years.</w:t>
      </w:r>
    </w:p>
    <w:p w14:paraId="66A8BEB4" w14:textId="05545A64" w:rsidR="00A44FAA" w:rsidRDefault="00A44FAA" w:rsidP="002B2346">
      <w:pPr>
        <w:pStyle w:val="Heading1"/>
      </w:pPr>
      <w:r w:rsidRPr="009C66D8">
        <w:t>Highest and Best Use:</w:t>
      </w:r>
    </w:p>
    <w:p w14:paraId="1BF8E5F5" w14:textId="62800D72" w:rsidR="00290B89" w:rsidRDefault="00290B89" w:rsidP="00290B89">
      <w:r>
        <w:t>The most probable Highest and Best Use of</w:t>
      </w:r>
      <w:r w:rsidR="00A44FAA">
        <w:t xml:space="preserve"> the </w:t>
      </w:r>
      <w:r>
        <w:t xml:space="preserve">subject should be </w:t>
      </w:r>
      <w:r w:rsidR="00A44FAA">
        <w:t xml:space="preserve">based </w:t>
      </w:r>
      <w:r>
        <w:t>upon</w:t>
      </w:r>
      <w:r w:rsidR="00A44FAA">
        <w:t xml:space="preserve"> its </w:t>
      </w:r>
      <w:r>
        <w:t xml:space="preserve">current </w:t>
      </w:r>
      <w:r w:rsidR="00A44FAA">
        <w:t>economic highest and best use</w:t>
      </w:r>
      <w:r>
        <w:t>, which is reflective of current and historical market behavior and conditions, and the most probable buyer of the subject</w:t>
      </w:r>
      <w:r w:rsidR="00A44FAA">
        <w:t xml:space="preserve"> in the </w:t>
      </w:r>
      <w:r>
        <w:t>current market. Hold for future development is not considered an acceptable Highest &amp; Best Use;</w:t>
      </w:r>
    </w:p>
    <w:p w14:paraId="72A8DB2D" w14:textId="2F0AC5AA" w:rsidR="00A44FAA" w:rsidRDefault="00290B89" w:rsidP="002B2346">
      <w:r>
        <w:t xml:space="preserve">The </w:t>
      </w:r>
      <w:r w:rsidR="00A44FAA">
        <w:t>larger parcel</w:t>
      </w:r>
      <w:r w:rsidR="0029694F">
        <w:t xml:space="preserve"> should be based upon it</w:t>
      </w:r>
      <w:r>
        <w:t xml:space="preserve">s most probable size and should correspond with the Highest and Best Use (see </w:t>
      </w:r>
      <w:r w:rsidR="00A44FAA">
        <w:t>Yellow Book</w:t>
      </w:r>
      <w:r>
        <w:t>);</w:t>
      </w:r>
    </w:p>
    <w:p w14:paraId="52ED3ABE" w14:textId="63DAAECC" w:rsidR="00A44FAA" w:rsidRDefault="00F512B4" w:rsidP="00A44FAA">
      <w:pPr>
        <w:pStyle w:val="NormalWeb"/>
      </w:pPr>
      <w:r>
        <w:t>Unbiased</w:t>
      </w:r>
      <w:r w:rsidR="00A44FAA">
        <w:t xml:space="preserve">, third party, independent research and analysis to ascertain the reasonably probable legal use(s) that maximize(s) the </w:t>
      </w:r>
      <w:r w:rsidR="00290B89">
        <w:t>subject’s</w:t>
      </w:r>
      <w:r w:rsidR="00A44FAA">
        <w:t xml:space="preserve"> value is critically important</w:t>
      </w:r>
      <w:r w:rsidR="00290B89">
        <w:t>, h</w:t>
      </w:r>
      <w:r w:rsidR="000C1B57">
        <w:t>owever</w:t>
      </w:r>
      <w:r w:rsidR="00A44FAA">
        <w:t xml:space="preserve">, changes, such as zoning, cannot be assumed, </w:t>
      </w:r>
      <w:r w:rsidR="00290B89">
        <w:t>and should</w:t>
      </w:r>
      <w:r w:rsidR="00A44FAA">
        <w:t xml:space="preserve"> be supported by </w:t>
      </w:r>
      <w:r>
        <w:t xml:space="preserve">market and economic </w:t>
      </w:r>
      <w:r w:rsidR="00A44FAA">
        <w:t>evidence.</w:t>
      </w:r>
    </w:p>
    <w:p w14:paraId="4CEC0EA2" w14:textId="77777777" w:rsidR="0027197C" w:rsidRDefault="0027197C" w:rsidP="00805EE8">
      <w:pPr>
        <w:pStyle w:val="Heading1"/>
      </w:pPr>
      <w:r>
        <w:t>Valuation</w:t>
      </w:r>
    </w:p>
    <w:p w14:paraId="0CEAC453" w14:textId="5660D964" w:rsidR="00A44FAA" w:rsidRDefault="00A44FAA" w:rsidP="00A44FAA">
      <w:pPr>
        <w:pStyle w:val="NormalWeb"/>
      </w:pPr>
      <w:r w:rsidRPr="002B2346">
        <w:rPr>
          <w:b/>
        </w:rPr>
        <w:lastRenderedPageBreak/>
        <w:t>Sales Data:</w:t>
      </w:r>
      <w:r w:rsidR="00E9601C" w:rsidRPr="004E2BB0">
        <w:rPr>
          <w:b/>
        </w:rPr>
        <w:t xml:space="preserve"> </w:t>
      </w:r>
      <w:r w:rsidR="00E9601C">
        <w:t>Independently</w:t>
      </w:r>
      <w:r>
        <w:t xml:space="preserve"> verify all market </w:t>
      </w:r>
      <w:r w:rsidR="00E9601C">
        <w:t>data</w:t>
      </w:r>
      <w:r>
        <w:t xml:space="preserve"> with </w:t>
      </w:r>
      <w:r w:rsidR="00E9601C">
        <w:t>one or more parties</w:t>
      </w:r>
      <w:r>
        <w:t xml:space="preserve"> to the transaction (buyer, seller, or agent</w:t>
      </w:r>
      <w:r w:rsidR="00E9601C">
        <w:t>) relying on arm’s length transactions.</w:t>
      </w:r>
      <w:r>
        <w:t xml:space="preserve">  Cite and discuss </w:t>
      </w:r>
      <w:r w:rsidR="00E9601C">
        <w:t>any buyers or sellers motivations that warrant notation</w:t>
      </w:r>
      <w:r>
        <w:t>.</w:t>
      </w:r>
    </w:p>
    <w:p w14:paraId="257A6139" w14:textId="77777777" w:rsidR="00A44FAA" w:rsidRDefault="00A44FAA" w:rsidP="00A44FAA">
      <w:pPr>
        <w:pStyle w:val="NormalWeb"/>
      </w:pPr>
      <w:r>
        <w:t>Personally visit and inspect each sale used in your analysis.</w:t>
      </w:r>
    </w:p>
    <w:p w14:paraId="12332EB5" w14:textId="53682D62" w:rsidR="00E9601C" w:rsidRDefault="00E9601C" w:rsidP="00E9601C">
      <w:pPr>
        <w:pStyle w:val="NormalWeb"/>
      </w:pPr>
      <w:r w:rsidRPr="002A57B9">
        <w:t>Present</w:t>
      </w:r>
      <w:r>
        <w:t xml:space="preserve"> a uniquely named data grid/</w:t>
      </w:r>
      <w:r w:rsidR="00F512B4">
        <w:t xml:space="preserve"> </w:t>
      </w:r>
      <w:r>
        <w:t>sheet for each comparable used</w:t>
      </w:r>
      <w:r w:rsidR="00A44FAA">
        <w:t xml:space="preserve"> in the </w:t>
      </w:r>
      <w:r>
        <w:t xml:space="preserve">Sales Comparison Approach, </w:t>
      </w:r>
      <w:r w:rsidR="00A44FAA">
        <w:t xml:space="preserve">the </w:t>
      </w:r>
      <w:r>
        <w:t>Income Approach, and/or in estimating depreciation rates in</w:t>
      </w:r>
      <w:r w:rsidR="00A44FAA">
        <w:t xml:space="preserve"> the </w:t>
      </w:r>
      <w:r>
        <w:t>Cost Approach. Naming should identify</w:t>
      </w:r>
      <w:r w:rsidR="00A44FAA">
        <w:t xml:space="preserve"> the </w:t>
      </w:r>
      <w:r w:rsidR="005E5F9F">
        <w:t xml:space="preserve">comparable by the </w:t>
      </w:r>
      <w:r>
        <w:t xml:space="preserve">approach </w:t>
      </w:r>
      <w:r w:rsidR="005E5F9F">
        <w:t>it</w:t>
      </w:r>
      <w:r>
        <w:t xml:space="preserve"> supports to avoid confusion. Provide photographs</w:t>
      </w:r>
      <w:r w:rsidR="00A44FAA">
        <w:t xml:space="preserve"> and </w:t>
      </w:r>
      <w:r>
        <w:t>location map</w:t>
      </w:r>
      <w:r w:rsidR="00F512B4">
        <w:t>s</w:t>
      </w:r>
      <w:r>
        <w:t xml:space="preserve"> adequate for specific identification and inspection</w:t>
      </w:r>
      <w:r w:rsidR="00F512B4">
        <w:t xml:space="preserve"> purposes</w:t>
      </w:r>
      <w:r>
        <w:t xml:space="preserve">.  Appropriate </w:t>
      </w:r>
      <w:r w:rsidR="00F512B4">
        <w:t xml:space="preserve">comparable data and data elements </w:t>
      </w:r>
      <w:r>
        <w:t xml:space="preserve">should be used in the comparison grid. </w:t>
      </w:r>
    </w:p>
    <w:p w14:paraId="50939285" w14:textId="77777777" w:rsidR="00E9601C" w:rsidRDefault="00E9601C" w:rsidP="00E9601C">
      <w:pPr>
        <w:pStyle w:val="NormalWeb"/>
      </w:pPr>
      <w:r>
        <w:t>Datum to consider in comparable selection and adjustment should include:</w:t>
      </w:r>
      <w:r>
        <w:br/>
        <w:t xml:space="preserve">- Zoning, </w:t>
      </w:r>
      <w:r w:rsidR="0000282F">
        <w:t>p</w:t>
      </w:r>
      <w:r>
        <w:t xml:space="preserve">resent </w:t>
      </w:r>
      <w:r w:rsidR="0000282F">
        <w:t>u</w:t>
      </w:r>
      <w:r>
        <w:t>se, Highest &amp; Best Use</w:t>
      </w:r>
      <w:r w:rsidR="0000282F">
        <w:t>, and larger parcel size.</w:t>
      </w:r>
      <w:r>
        <w:br/>
        <w:t>- Market behavior, age of sale, location,</w:t>
      </w:r>
      <w:r w:rsidRPr="002A57B9">
        <w:t xml:space="preserve"> </w:t>
      </w:r>
      <w:r>
        <w:t xml:space="preserve">size, physical characteristics (shape, terrain, flood), utility availability, other bundle of rights (water, air and mineral rights). </w:t>
      </w:r>
    </w:p>
    <w:p w14:paraId="4868DE12" w14:textId="77777777" w:rsidR="003548C6" w:rsidRPr="003548C6" w:rsidRDefault="00E9601C" w:rsidP="003548C6">
      <w:pPr>
        <w:pStyle w:val="NormalWeb"/>
        <w:ind w:left="720"/>
      </w:pPr>
      <w:r w:rsidRPr="004E2BB0">
        <w:rPr>
          <w:b/>
        </w:rPr>
        <w:t>Adjustment</w:t>
      </w:r>
      <w:r w:rsidR="004E2BB0" w:rsidRPr="004E2BB0">
        <w:rPr>
          <w:b/>
        </w:rPr>
        <w:t>:</w:t>
      </w:r>
    </w:p>
    <w:p w14:paraId="62F07C9B" w14:textId="148A9EDA" w:rsidR="00A44FAA" w:rsidRDefault="00A44FAA" w:rsidP="002B2346">
      <w:pPr>
        <w:pStyle w:val="NormalWeb"/>
        <w:numPr>
          <w:ilvl w:val="0"/>
          <w:numId w:val="8"/>
        </w:numPr>
      </w:pPr>
      <w:r>
        <w:t xml:space="preserve">Quantitative sales adjustments are preferred, </w:t>
      </w:r>
      <w:r w:rsidR="00E9601C">
        <w:t>and should</w:t>
      </w:r>
      <w:r>
        <w:t xml:space="preserve"> be supported by paired sales analysis, statistical analysis, or other acceptable market data analysis</w:t>
      </w:r>
      <w:r w:rsidR="0000282F">
        <w:t xml:space="preserve"> techniques</w:t>
      </w:r>
      <w:r>
        <w:t>.</w:t>
      </w:r>
    </w:p>
    <w:p w14:paraId="47C6669F" w14:textId="77777777" w:rsidR="007367F2" w:rsidRDefault="00E9601C" w:rsidP="007367F2">
      <w:pPr>
        <w:pStyle w:val="NormalWeb"/>
        <w:numPr>
          <w:ilvl w:val="0"/>
          <w:numId w:val="8"/>
        </w:numPr>
      </w:pPr>
      <w:r>
        <w:t>If inadequate market data</w:t>
      </w:r>
      <w:r w:rsidR="00F512B4">
        <w:t xml:space="preserve"> is available</w:t>
      </w:r>
      <w:r>
        <w:t xml:space="preserve"> to support quantitative adjustments, qualitative adjustments are acceptable.</w:t>
      </w:r>
    </w:p>
    <w:p w14:paraId="215BBD07" w14:textId="77777777" w:rsidR="007367F2" w:rsidRDefault="00E9601C" w:rsidP="007367F2">
      <w:pPr>
        <w:pStyle w:val="NormalWeb"/>
        <w:numPr>
          <w:ilvl w:val="0"/>
          <w:numId w:val="8"/>
        </w:numPr>
      </w:pPr>
      <w:r>
        <w:t>Include a comparable adjustment grid summarizing adjustments and showing an estimated adjusted value for each comparable.</w:t>
      </w:r>
    </w:p>
    <w:p w14:paraId="576F7229" w14:textId="77777777" w:rsidR="007367F2" w:rsidRDefault="00E9601C" w:rsidP="007367F2">
      <w:pPr>
        <w:pStyle w:val="NormalWeb"/>
        <w:numPr>
          <w:ilvl w:val="0"/>
          <w:numId w:val="8"/>
        </w:numPr>
      </w:pPr>
      <w:r>
        <w:t>Discuss each element of comparison</w:t>
      </w:r>
      <w:r w:rsidR="00F512B4">
        <w:t xml:space="preserve"> and</w:t>
      </w:r>
      <w:r>
        <w:t xml:space="preserve"> its adjustment relative to each comparable</w:t>
      </w:r>
      <w:r w:rsidR="005E5F9F">
        <w:t xml:space="preserve"> and the subject.</w:t>
      </w:r>
    </w:p>
    <w:p w14:paraId="11E1D3B4" w14:textId="7AC6E6C7" w:rsidR="00A44FAA" w:rsidRDefault="00E9601C" w:rsidP="002B2346">
      <w:pPr>
        <w:pStyle w:val="NormalWeb"/>
        <w:numPr>
          <w:ilvl w:val="0"/>
          <w:numId w:val="8"/>
        </w:numPr>
      </w:pPr>
      <w:r>
        <w:t>Apply</w:t>
      </w:r>
      <w:r w:rsidR="00A44FAA">
        <w:t xml:space="preserve"> the federal rule, </w:t>
      </w:r>
      <w:r>
        <w:t>a/k/a</w:t>
      </w:r>
      <w:r w:rsidR="00A44FAA">
        <w:t xml:space="preserve"> “before and after method of valuation” </w:t>
      </w:r>
      <w:r>
        <w:t>to Partial Acquisitions. The Yellow Book Standard requires,</w:t>
      </w:r>
      <w:r w:rsidR="00A44FAA">
        <w:t xml:space="preserve"> with the exceptions noted in </w:t>
      </w:r>
      <w:r w:rsidR="005E5F9F">
        <w:t>Yellow Book</w:t>
      </w:r>
      <w:r>
        <w:t xml:space="preserve"> </w:t>
      </w:r>
      <w:r w:rsidR="00A44FAA">
        <w:t xml:space="preserve">Section B-14, </w:t>
      </w:r>
      <w:r>
        <w:t xml:space="preserve">the </w:t>
      </w:r>
      <w:r w:rsidR="00A44FAA">
        <w:t xml:space="preserve">application of the before and after </w:t>
      </w:r>
      <w:r>
        <w:t>method</w:t>
      </w:r>
      <w:r w:rsidR="005E5F9F">
        <w:t>ology or</w:t>
      </w:r>
      <w:r w:rsidR="00A44FAA">
        <w:t xml:space="preserve"> the market value of the whole property before the government’s acquisition</w:t>
      </w:r>
      <w:r>
        <w:t>,</w:t>
      </w:r>
      <w:r w:rsidR="00A44FAA">
        <w:t xml:space="preserve"> the market value of the remainder property after the government’s acquisition</w:t>
      </w:r>
      <w:r>
        <w:t xml:space="preserve"> and the estimation of damages </w:t>
      </w:r>
      <w:r w:rsidR="005E5F9F">
        <w:t>(</w:t>
      </w:r>
      <w:r>
        <w:t xml:space="preserve">or </w:t>
      </w:r>
      <w:r w:rsidRPr="00E9601C">
        <w:t>benefits</w:t>
      </w:r>
      <w:r w:rsidR="005E5F9F">
        <w:t>)</w:t>
      </w:r>
      <w:r w:rsidRPr="00E9601C">
        <w:t xml:space="preserve"> to the remainder after the acquisition.  </w:t>
      </w:r>
    </w:p>
    <w:p w14:paraId="0739BD5C" w14:textId="77777777" w:rsidR="0092178B" w:rsidRPr="00E9601C" w:rsidRDefault="0092178B" w:rsidP="0092178B">
      <w:pPr>
        <w:pStyle w:val="Heading1"/>
      </w:pPr>
      <w:r w:rsidRPr="00E9601C">
        <w:t>Reconciliation</w:t>
      </w:r>
    </w:p>
    <w:p w14:paraId="4D22346F" w14:textId="77777777" w:rsidR="0092178B" w:rsidRPr="00E9601C" w:rsidRDefault="0092178B" w:rsidP="0092178B">
      <w:r>
        <w:t>If more than one approach to value is used in the value analysis, a reconciliation section must be included in the report which explains how the appraiser has arrived at a final estimate of value.</w:t>
      </w:r>
    </w:p>
    <w:p w14:paraId="34426123" w14:textId="77777777" w:rsidR="0092178B" w:rsidRDefault="0092178B" w:rsidP="0092178B">
      <w:pPr>
        <w:pStyle w:val="Heading1"/>
      </w:pPr>
      <w:r>
        <w:t>Appraiser Certification Statement</w:t>
      </w:r>
    </w:p>
    <w:p w14:paraId="71955B3F" w14:textId="09A1A491" w:rsidR="0092178B" w:rsidRDefault="0092178B" w:rsidP="0092178B">
      <w:r>
        <w:lastRenderedPageBreak/>
        <w:t>Each appraisal report must be accompanied by a signed Certification Statement</w:t>
      </w:r>
      <w:r w:rsidR="00123B35">
        <w:t>.</w:t>
      </w:r>
      <w:r>
        <w:t xml:space="preserve"> </w:t>
      </w:r>
      <w:r w:rsidR="00123B35">
        <w:t>T</w:t>
      </w:r>
      <w:r>
        <w:t xml:space="preserve">he </w:t>
      </w:r>
      <w:r w:rsidR="00123B35">
        <w:t xml:space="preserve">certification must include the following statements:  </w:t>
      </w:r>
    </w:p>
    <w:p w14:paraId="1ED3C5D9" w14:textId="77777777" w:rsidR="00123B35" w:rsidRDefault="00123B35" w:rsidP="002B2346">
      <w:pPr>
        <w:ind w:left="720"/>
      </w:pPr>
      <w:r w:rsidRPr="00123B35">
        <w:t xml:space="preserve">• the appraisal was developed and the appraisal report was prepared in conformity with the </w:t>
      </w:r>
      <w:r w:rsidRPr="00123B35">
        <w:rPr>
          <w:i/>
          <w:iCs/>
        </w:rPr>
        <w:t>Uniform Appraisal Standards for Federal Land Acquisitions</w:t>
      </w:r>
      <w:r w:rsidRPr="00123B35">
        <w:t>;</w:t>
      </w:r>
      <w:r>
        <w:t xml:space="preserve"> </w:t>
      </w:r>
    </w:p>
    <w:p w14:paraId="085A2817" w14:textId="3D59DEBD" w:rsidR="00123B35" w:rsidRPr="00123B35" w:rsidRDefault="00123B35" w:rsidP="002B2346">
      <w:pPr>
        <w:ind w:left="720"/>
      </w:pPr>
      <w:r w:rsidRPr="00123B35">
        <w:t xml:space="preserve">• the appraisal was developed and the appraisal report prepared in conformance with the Appraisal Standards Board’s </w:t>
      </w:r>
      <w:r w:rsidRPr="00123B35">
        <w:rPr>
          <w:i/>
          <w:iCs/>
        </w:rPr>
        <w:t xml:space="preserve">Uniform Standards of Professional Appraisal Practice </w:t>
      </w:r>
      <w:r w:rsidRPr="00123B35">
        <w:t xml:space="preserve">and complies with USPAP’s Jurisdictional Exception Rule when invoked by Section 1.2.7.2 of the </w:t>
      </w:r>
      <w:r w:rsidRPr="00123B35">
        <w:rPr>
          <w:i/>
          <w:iCs/>
        </w:rPr>
        <w:t>Uniform Appraisal Standards for Federal Land Acquisitions</w:t>
      </w:r>
      <w:r w:rsidRPr="00123B35">
        <w:t xml:space="preserve">; and </w:t>
      </w:r>
    </w:p>
    <w:p w14:paraId="05C0A2E5" w14:textId="77777777" w:rsidR="00123B35" w:rsidRPr="00123B35" w:rsidRDefault="00123B35" w:rsidP="002B2346">
      <w:pPr>
        <w:ind w:left="720"/>
      </w:pPr>
      <w:r w:rsidRPr="00123B35">
        <w:t>• the appraiser has made a physical inspection of the property appraised and that the property   owner, or [his][her] designated representative, was given the opportunity to accompany the appraiser on the property inspection.</w:t>
      </w:r>
    </w:p>
    <w:p w14:paraId="4A35E8EF" w14:textId="77777777" w:rsidR="00123B35" w:rsidRPr="00123B35" w:rsidRDefault="00123B35" w:rsidP="00123B35">
      <w:r w:rsidRPr="00123B35">
        <w:t>The following is a recommended example of a USPAP/ Yellow Book compliant Certification Statement.</w:t>
      </w:r>
    </w:p>
    <w:p w14:paraId="1C17FF0F" w14:textId="77777777" w:rsidR="00985672" w:rsidRDefault="00985672" w:rsidP="00985672">
      <w:pPr>
        <w:sectPr w:rsidR="00985672" w:rsidSect="0092178B">
          <w:headerReference w:type="default" r:id="rId17"/>
          <w:footerReference w:type="default" r:id="rId18"/>
          <w:headerReference w:type="first" r:id="rId19"/>
          <w:footerReference w:type="first" r:id="rId20"/>
          <w:pgSz w:w="12240" w:h="15840"/>
          <w:pgMar w:top="1440" w:right="1800" w:bottom="1440" w:left="1800" w:header="720" w:footer="720" w:gutter="0"/>
          <w:pgNumType w:start="1"/>
          <w:cols w:space="720"/>
          <w:titlePg/>
          <w:docGrid w:linePitch="360"/>
        </w:sectPr>
      </w:pPr>
    </w:p>
    <w:p w14:paraId="024A11BD" w14:textId="19330813" w:rsidR="00A44FAA" w:rsidRDefault="00A44FAA" w:rsidP="002B2346">
      <w:r>
        <w:lastRenderedPageBreak/>
        <w:t>Appraiser Certification:</w:t>
      </w:r>
    </w:p>
    <w:p w14:paraId="67A9FA6C" w14:textId="77777777" w:rsidR="00934760" w:rsidRDefault="00934760" w:rsidP="002B4E95">
      <w:r>
        <w:t>I certify that, to the best of my knowledge and belief;</w:t>
      </w:r>
    </w:p>
    <w:p w14:paraId="3769B038" w14:textId="44D937B0" w:rsidR="00A44FAA" w:rsidRDefault="00A44FAA" w:rsidP="002B2346">
      <w:pPr>
        <w:numPr>
          <w:ilvl w:val="0"/>
          <w:numId w:val="16"/>
        </w:numPr>
      </w:pPr>
      <w:r>
        <w:t>The statements of fact contained in the report are true and correct</w:t>
      </w:r>
      <w:r w:rsidR="009F6DFD">
        <w:t>.</w:t>
      </w:r>
    </w:p>
    <w:p w14:paraId="6C9A3646" w14:textId="4E29F0FB" w:rsidR="00A44FAA" w:rsidRDefault="00A44FAA" w:rsidP="002B2346">
      <w:pPr>
        <w:numPr>
          <w:ilvl w:val="0"/>
          <w:numId w:val="16"/>
        </w:numPr>
      </w:pPr>
      <w:r>
        <w:t>The reported analyses, opinions, and conclusions are limited only by the reported assumptions</w:t>
      </w:r>
      <w:r w:rsidR="009F6DFD">
        <w:t xml:space="preserve"> and</w:t>
      </w:r>
      <w:r>
        <w:t xml:space="preserve"> limiting conditions and are </w:t>
      </w:r>
      <w:r w:rsidR="009F6DFD">
        <w:t>my</w:t>
      </w:r>
      <w:r>
        <w:t xml:space="preserve"> personal, </w:t>
      </w:r>
      <w:r w:rsidR="009024BE">
        <w:t xml:space="preserve">impartial and </w:t>
      </w:r>
      <w:r>
        <w:t>unbiased professional analysis, opinions, and conclusions.</w:t>
      </w:r>
    </w:p>
    <w:p w14:paraId="2EB083FF" w14:textId="3A0EA347" w:rsidR="009024BE" w:rsidRDefault="009024BE" w:rsidP="002B4E95">
      <w:pPr>
        <w:numPr>
          <w:ilvl w:val="0"/>
          <w:numId w:val="16"/>
        </w:numPr>
      </w:pPr>
      <w:r>
        <w:t xml:space="preserve">I have </w:t>
      </w:r>
      <w:r w:rsidR="000C1B57">
        <w:t xml:space="preserve">no </w:t>
      </w:r>
      <w:r w:rsidRPr="007E02D1">
        <w:rPr>
          <w:i/>
        </w:rPr>
        <w:t>(or the specified)</w:t>
      </w:r>
      <w:r w:rsidR="00A44FAA" w:rsidRPr="002B2346">
        <w:rPr>
          <w:i/>
        </w:rPr>
        <w:t xml:space="preserve"> </w:t>
      </w:r>
      <w:r w:rsidR="00A44FAA">
        <w:t xml:space="preserve">present or prospective interest in the property </w:t>
      </w:r>
      <w:r>
        <w:t xml:space="preserve">that is the subject of this report and no </w:t>
      </w:r>
      <w:r w:rsidR="009F6DFD" w:rsidRPr="007E02D1">
        <w:rPr>
          <w:i/>
        </w:rPr>
        <w:t>(or the specified)</w:t>
      </w:r>
      <w:r>
        <w:t xml:space="preserve"> with respect to the parties involved.</w:t>
      </w:r>
    </w:p>
    <w:p w14:paraId="46FDC921" w14:textId="5E9AA951" w:rsidR="009024BE" w:rsidRDefault="009024BE" w:rsidP="002B4E95">
      <w:pPr>
        <w:numPr>
          <w:ilvl w:val="0"/>
          <w:numId w:val="16"/>
        </w:numPr>
      </w:pPr>
      <w:r>
        <w:t>I have performed</w:t>
      </w:r>
      <w:r w:rsidR="00A44FAA">
        <w:t xml:space="preserve"> no </w:t>
      </w:r>
      <w:r w:rsidRPr="007E02D1">
        <w:rPr>
          <w:i/>
        </w:rPr>
        <w:t xml:space="preserve">(or the specified) </w:t>
      </w:r>
      <w:r>
        <w:t>services, as an appraiser or in any other capacity, regarding the property that is the subject of this report within the three year period immediately preceding the acceptance of this assignment.</w:t>
      </w:r>
    </w:p>
    <w:p w14:paraId="732104C7" w14:textId="37FD8494" w:rsidR="00A44FAA" w:rsidRDefault="009024BE" w:rsidP="002B2346">
      <w:pPr>
        <w:numPr>
          <w:ilvl w:val="0"/>
          <w:numId w:val="16"/>
        </w:numPr>
      </w:pPr>
      <w:r>
        <w:t>I have no</w:t>
      </w:r>
      <w:r w:rsidR="00A44FAA">
        <w:t xml:space="preserve"> bias with respect to the </w:t>
      </w:r>
      <w:r>
        <w:t xml:space="preserve">property that is the subject of this report or to the </w:t>
      </w:r>
      <w:r w:rsidR="00A44FAA">
        <w:t>parties involved</w:t>
      </w:r>
      <w:r>
        <w:t xml:space="preserve"> with this assignment.</w:t>
      </w:r>
    </w:p>
    <w:p w14:paraId="348C3BF2" w14:textId="77777777" w:rsidR="009024BE" w:rsidRDefault="00934760" w:rsidP="002B4E95">
      <w:pPr>
        <w:numPr>
          <w:ilvl w:val="0"/>
          <w:numId w:val="16"/>
        </w:numPr>
      </w:pPr>
      <w:r>
        <w:t>My</w:t>
      </w:r>
      <w:r w:rsidR="009024BE">
        <w:t xml:space="preserve"> engagement in this assignment was not contingent upon developing or reporting predetermined results.</w:t>
      </w:r>
    </w:p>
    <w:p w14:paraId="02E47E39" w14:textId="77777777" w:rsidR="009024BE" w:rsidRDefault="00934760" w:rsidP="002B4E95">
      <w:pPr>
        <w:numPr>
          <w:ilvl w:val="0"/>
          <w:numId w:val="16"/>
        </w:numPr>
      </w:pPr>
      <w:r>
        <w:t>My</w:t>
      </w:r>
      <w:r w:rsidR="009024BE">
        <w:t xml:space="preserve"> compensation for completing this assignment is not contingent upon the development or reporting of a </w:t>
      </w:r>
      <w:r w:rsidR="007E02D1">
        <w:t>predetermined value or</w:t>
      </w:r>
      <w:r w:rsidR="009024BE">
        <w:t xml:space="preserve"> direction in value that favors the cause of the client, the amount of the value opinion, the attainment of a stipulated result, or the </w:t>
      </w:r>
      <w:r w:rsidR="007E02D1">
        <w:t>occurrence</w:t>
      </w:r>
      <w:r w:rsidR="009024BE">
        <w:t xml:space="preserve"> </w:t>
      </w:r>
      <w:r w:rsidR="007E02D1">
        <w:t xml:space="preserve">of a subsequent event directly related to the intended use of the appraisal. </w:t>
      </w:r>
    </w:p>
    <w:p w14:paraId="2F507300" w14:textId="77777777" w:rsidR="00123B35" w:rsidRDefault="00123B35" w:rsidP="00123B35">
      <w:pPr>
        <w:pStyle w:val="Pa22"/>
        <w:numPr>
          <w:ilvl w:val="0"/>
          <w:numId w:val="16"/>
        </w:numPr>
        <w:rPr>
          <w:rFonts w:ascii="Times New Roman" w:hAnsi="Times New Roman"/>
          <w:color w:val="000000"/>
          <w:szCs w:val="22"/>
        </w:rPr>
      </w:pPr>
      <w:r w:rsidRPr="00BF412D">
        <w:rPr>
          <w:rFonts w:ascii="Times New Roman" w:hAnsi="Times New Roman"/>
          <w:color w:val="000000"/>
          <w:szCs w:val="22"/>
        </w:rPr>
        <w:t xml:space="preserve">The appraisal was developed and the appraisal report was prepared in </w:t>
      </w:r>
      <w:r w:rsidRPr="00C921AE">
        <w:rPr>
          <w:rFonts w:ascii="Times New Roman" w:hAnsi="Times New Roman"/>
          <w:color w:val="000000"/>
          <w:szCs w:val="22"/>
        </w:rPr>
        <w:t xml:space="preserve">conformity with the </w:t>
      </w:r>
      <w:r w:rsidRPr="00C921AE">
        <w:rPr>
          <w:rFonts w:ascii="Times New Roman" w:hAnsi="Times New Roman"/>
          <w:iCs/>
          <w:color w:val="000000"/>
          <w:szCs w:val="22"/>
        </w:rPr>
        <w:t>Uniform Appraisal Standards for Federal Land Acquisitions</w:t>
      </w:r>
      <w:r w:rsidRPr="00C921AE">
        <w:rPr>
          <w:rFonts w:ascii="Times New Roman" w:hAnsi="Times New Roman"/>
          <w:color w:val="000000"/>
          <w:szCs w:val="22"/>
        </w:rPr>
        <w:t>;</w:t>
      </w:r>
      <w:r w:rsidRPr="00BF412D">
        <w:rPr>
          <w:rFonts w:ascii="Times New Roman" w:hAnsi="Times New Roman"/>
          <w:color w:val="000000"/>
          <w:szCs w:val="22"/>
        </w:rPr>
        <w:t xml:space="preserve"> </w:t>
      </w:r>
    </w:p>
    <w:p w14:paraId="3C589334" w14:textId="77777777" w:rsidR="00123B35" w:rsidRPr="00C921AE" w:rsidRDefault="00123B35" w:rsidP="00123B35">
      <w:pPr>
        <w:pStyle w:val="Pa22"/>
        <w:numPr>
          <w:ilvl w:val="0"/>
          <w:numId w:val="16"/>
        </w:numPr>
        <w:rPr>
          <w:rFonts w:ascii="Times New Roman" w:hAnsi="Times New Roman"/>
          <w:color w:val="000000"/>
          <w:szCs w:val="22"/>
        </w:rPr>
      </w:pPr>
      <w:r w:rsidRPr="00C921AE">
        <w:rPr>
          <w:rFonts w:ascii="Times New Roman" w:hAnsi="Times New Roman"/>
          <w:color w:val="000000"/>
          <w:szCs w:val="22"/>
        </w:rPr>
        <w:t xml:space="preserve">The appraisal was developed and the appraisal report prepared in conformance with the </w:t>
      </w:r>
      <w:r w:rsidRPr="00C921AE">
        <w:rPr>
          <w:rFonts w:ascii="Times New Roman" w:hAnsi="Times New Roman"/>
          <w:iCs/>
          <w:color w:val="000000"/>
          <w:szCs w:val="22"/>
        </w:rPr>
        <w:t xml:space="preserve">Uniform Standards of Professional Appraisal Practice </w:t>
      </w:r>
      <w:r w:rsidRPr="00C921AE">
        <w:rPr>
          <w:rFonts w:ascii="Times New Roman" w:hAnsi="Times New Roman"/>
          <w:color w:val="000000"/>
          <w:szCs w:val="22"/>
        </w:rPr>
        <w:t xml:space="preserve">and complies with USPAP’s Jurisdictional Exception Rule when invoked by Section 1.2.7.2 of the </w:t>
      </w:r>
      <w:r w:rsidRPr="00C921AE">
        <w:rPr>
          <w:rFonts w:ascii="Times New Roman" w:hAnsi="Times New Roman"/>
          <w:iCs/>
          <w:color w:val="000000"/>
          <w:szCs w:val="22"/>
        </w:rPr>
        <w:t>Uniform Appraisal Standards for Federal Land Acquisitions</w:t>
      </w:r>
      <w:r w:rsidRPr="00C921AE">
        <w:rPr>
          <w:rFonts w:ascii="Times New Roman" w:hAnsi="Times New Roman"/>
          <w:color w:val="000000"/>
          <w:szCs w:val="22"/>
        </w:rPr>
        <w:t xml:space="preserve">; and </w:t>
      </w:r>
    </w:p>
    <w:p w14:paraId="2D140151" w14:textId="77777777" w:rsidR="00123B35" w:rsidRDefault="00123B35" w:rsidP="00123B35">
      <w:pPr>
        <w:numPr>
          <w:ilvl w:val="0"/>
          <w:numId w:val="16"/>
        </w:numPr>
      </w:pPr>
      <w:r w:rsidRPr="00C921AE">
        <w:rPr>
          <w:color w:val="000000"/>
        </w:rPr>
        <w:t xml:space="preserve">The appraiser has made a physical inspection of the property appraised and that the property   owner, or </w:t>
      </w:r>
      <w:r w:rsidRPr="002B2346">
        <w:rPr>
          <w:i/>
          <w:color w:val="000000"/>
          <w:highlight w:val="darkGray"/>
        </w:rPr>
        <w:t>[his][her]</w:t>
      </w:r>
      <w:r w:rsidRPr="00C921AE">
        <w:rPr>
          <w:color w:val="000000"/>
        </w:rPr>
        <w:t xml:space="preserve"> designated representative, was given the opportunity to accompany the appraiser on the property inspection. </w:t>
      </w:r>
    </w:p>
    <w:p w14:paraId="6EE01BB8" w14:textId="0FF6B84C" w:rsidR="00A44FAA" w:rsidRDefault="00A44FAA" w:rsidP="002B2346">
      <w:pPr>
        <w:numPr>
          <w:ilvl w:val="0"/>
          <w:numId w:val="16"/>
        </w:numPr>
      </w:pPr>
      <w:r>
        <w:t xml:space="preserve">No one provided significant </w:t>
      </w:r>
      <w:r w:rsidR="007E02D1">
        <w:t xml:space="preserve">real property appraisal </w:t>
      </w:r>
      <w:r>
        <w:t xml:space="preserve">assistance to the </w:t>
      </w:r>
      <w:r w:rsidR="007E02D1">
        <w:t xml:space="preserve">person signing this certification. </w:t>
      </w:r>
      <w:r w:rsidR="007E02D1" w:rsidRPr="007E02D1">
        <w:t>(If there are exceptions</w:t>
      </w:r>
      <w:r>
        <w:t xml:space="preserve">, the name of </w:t>
      </w:r>
      <w:r w:rsidR="007E02D1" w:rsidRPr="007E02D1">
        <w:t>each</w:t>
      </w:r>
      <w:r>
        <w:t xml:space="preserve"> individual providing </w:t>
      </w:r>
      <w:r w:rsidR="007E02D1" w:rsidRPr="007E02D1">
        <w:t>significant real property</w:t>
      </w:r>
      <w:r>
        <w:t xml:space="preserve"> appraisal assistance </w:t>
      </w:r>
      <w:r w:rsidR="007E02D1" w:rsidRPr="007E02D1">
        <w:t>must be stated</w:t>
      </w:r>
      <w:r>
        <w:t>.)</w:t>
      </w:r>
    </w:p>
    <w:p w14:paraId="26944354" w14:textId="77777777" w:rsidR="00A44FAA" w:rsidRDefault="00A44FAA" w:rsidP="002B2346">
      <w:r>
        <w:t> </w:t>
      </w:r>
    </w:p>
    <w:p w14:paraId="20E7AD22" w14:textId="0708F947" w:rsidR="00A44FAA" w:rsidRDefault="00A44FAA" w:rsidP="00A44FAA">
      <w:pPr>
        <w:pStyle w:val="NormalWeb"/>
      </w:pPr>
      <w:r>
        <w:t>_________________________                                </w:t>
      </w:r>
      <w:r w:rsidR="002B4E95">
        <w:t xml:space="preserve"> </w:t>
      </w:r>
      <w:r>
        <w:t xml:space="preserve"> _________________________</w:t>
      </w:r>
    </w:p>
    <w:p w14:paraId="4FC019B6" w14:textId="6BC36989" w:rsidR="009C66D8" w:rsidRDefault="005E5F9F" w:rsidP="002B2346">
      <w:pPr>
        <w:pStyle w:val="NormalWeb"/>
      </w:pPr>
      <w:r w:rsidRPr="002B4E95">
        <w:t>Appraisers Name Certification/ Designation</w:t>
      </w:r>
      <w:r w:rsidR="00E9601C" w:rsidRPr="002B4E95">
        <w:t xml:space="preserve">             </w:t>
      </w:r>
      <w:r w:rsidR="000C1B57" w:rsidRPr="002B4E95">
        <w:t>Date </w:t>
      </w:r>
    </w:p>
    <w:sectPr w:rsidR="009C66D8" w:rsidSect="002B2346">
      <w:footerReference w:type="default" r:id="rId21"/>
      <w:headerReference w:type="first" r:id="rId22"/>
      <w:footerReference w:type="first" r:id="rId23"/>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202A5" w14:textId="77777777" w:rsidR="00190269" w:rsidRDefault="00190269" w:rsidP="00A44FAA">
      <w:pPr>
        <w:spacing w:before="0" w:after="0"/>
      </w:pPr>
      <w:r>
        <w:separator/>
      </w:r>
    </w:p>
  </w:endnote>
  <w:endnote w:type="continuationSeparator" w:id="0">
    <w:p w14:paraId="6166BD4F" w14:textId="77777777" w:rsidR="00190269" w:rsidRDefault="00190269" w:rsidP="00A44FAA">
      <w:pPr>
        <w:spacing w:before="0" w:after="0"/>
      </w:pPr>
      <w:r>
        <w:continuationSeparator/>
      </w:r>
    </w:p>
  </w:endnote>
  <w:endnote w:type="continuationNotice" w:id="1">
    <w:p w14:paraId="731F384B" w14:textId="77777777" w:rsidR="00190269" w:rsidRDefault="00190269" w:rsidP="009C66D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skerville">
    <w:altName w:val="Baskerville"/>
    <w:panose1 w:val="00000000000000000000"/>
    <w:charset w:val="00"/>
    <w:family w:val="roman"/>
    <w:notTrueType/>
    <w:pitch w:val="default"/>
    <w:sig w:usb0="00000003" w:usb1="00000000" w:usb2="00000000" w:usb3="00000000" w:csb0="00000001" w:csb1="00000000"/>
  </w:font>
  <w:font w:name="System">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45681" w14:textId="77777777" w:rsidR="00CA19AF" w:rsidRDefault="00CA19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767F8" w14:textId="4D2CCAB4" w:rsidR="009C66D8" w:rsidRPr="0006416B" w:rsidRDefault="00190269" w:rsidP="00865BA8">
    <w:r>
      <w:pict w14:anchorId="3DE328F8">
        <v:rect id="_x0000_i1025" style="width:0;height:1.5pt" o:hralign="center" o:hrstd="t" o:hrnoshade="t" o:hr="t" fillcolor="navy" stroked="f"/>
      </w:pict>
    </w:r>
    <w:r w:rsidR="009C66D8">
      <w:rPr>
        <w:rStyle w:val="Strong"/>
      </w:rPr>
      <w:t xml:space="preserve">1.3.12.2 Appraisal Contract Template </w:t>
    </w:r>
    <w:r w:rsidR="009C66D8">
      <w:rPr>
        <w:rStyle w:val="Strong"/>
      </w:rPr>
      <w:br/>
    </w:r>
    <w:r w:rsidR="00051B14">
      <w:rPr>
        <w:sz w:val="20"/>
      </w:rPr>
      <w:t xml:space="preserve">October </w:t>
    </w:r>
    <w:r w:rsidR="009C66D8">
      <w:rPr>
        <w:sz w:val="20"/>
      </w:rPr>
      <w:t>2017</w:t>
    </w:r>
    <w:r w:rsidR="009C66D8" w:rsidRPr="00865BA8">
      <w:rPr>
        <w:sz w:val="20"/>
        <w:szCs w:val="20"/>
      </w:rPr>
      <w:t xml:space="preserve"> OMB </w:t>
    </w:r>
    <w:r w:rsidR="009C66D8">
      <w:rPr>
        <w:sz w:val="20"/>
        <w:szCs w:val="20"/>
      </w:rPr>
      <w:br/>
    </w:r>
    <w:r w:rsidR="009C66D8" w:rsidRPr="00865BA8">
      <w:rPr>
        <w:sz w:val="20"/>
        <w:szCs w:val="20"/>
      </w:rPr>
      <w:t>Control No. 2120-0595</w:t>
    </w:r>
    <w:r w:rsidR="009C66D8">
      <w:tab/>
    </w:r>
    <w:r w:rsidR="009C66D8">
      <w:tab/>
    </w:r>
    <w:r w:rsidR="009C66D8">
      <w:tab/>
    </w:r>
    <w:r w:rsidR="009C66D8">
      <w:tab/>
    </w:r>
    <w:r w:rsidR="009C66D8">
      <w:tab/>
    </w:r>
    <w:r w:rsidR="009C66D8">
      <w:tab/>
    </w:r>
    <w:r w:rsidR="009C66D8">
      <w:tab/>
    </w:r>
    <w:r w:rsidR="009C66D8">
      <w:tab/>
    </w:r>
    <w:r w:rsidR="009C66D8">
      <w:tab/>
      <w:t xml:space="preserve">Pg. </w:t>
    </w:r>
    <w:r w:rsidR="009C66D8">
      <w:rPr>
        <w:rStyle w:val="PageNumber"/>
      </w:rPr>
      <w:fldChar w:fldCharType="begin"/>
    </w:r>
    <w:r w:rsidR="009C66D8">
      <w:rPr>
        <w:rStyle w:val="PageNumber"/>
      </w:rPr>
      <w:instrText xml:space="preserve"> PAGE </w:instrText>
    </w:r>
    <w:r w:rsidR="009C66D8">
      <w:rPr>
        <w:rStyle w:val="PageNumber"/>
      </w:rPr>
      <w:fldChar w:fldCharType="separate"/>
    </w:r>
    <w:r w:rsidR="00927DB5">
      <w:rPr>
        <w:rStyle w:val="PageNumber"/>
        <w:noProof/>
      </w:rPr>
      <w:t>2</w:t>
    </w:r>
    <w:r w:rsidR="009C66D8">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21D02" w14:textId="1A0D654F" w:rsidR="009C66D8" w:rsidRDefault="006C1329">
    <w:pPr>
      <w:pStyle w:val="Footer"/>
      <w:pBdr>
        <w:top w:val="thinThickSmallGap" w:sz="24" w:space="1" w:color="622423" w:themeColor="accent2" w:themeShade="7F"/>
      </w:pBdr>
      <w:rPr>
        <w:rFonts w:asciiTheme="majorHAnsi" w:eastAsiaTheme="majorEastAsia" w:hAnsiTheme="majorHAnsi" w:cstheme="majorBidi"/>
      </w:rPr>
    </w:pPr>
    <w:r>
      <w:rPr>
        <w:rStyle w:val="Strong"/>
      </w:rPr>
      <w:t>1.3.12</w:t>
    </w:r>
    <w:bookmarkStart w:id="6" w:name="_GoBack"/>
    <w:bookmarkEnd w:id="6"/>
    <w:r>
      <w:rPr>
        <w:rStyle w:val="Strong"/>
      </w:rPr>
      <w:t xml:space="preserve"> Appraisal Contract Template</w:t>
    </w:r>
    <w:r>
      <w:rPr>
        <w:rStyle w:val="Strong"/>
      </w:rPr>
      <w:br/>
    </w:r>
    <w:r>
      <w:rPr>
        <w:sz w:val="20"/>
      </w:rPr>
      <w:t>October 2017</w:t>
    </w:r>
    <w:r w:rsidRPr="00865BA8">
      <w:rPr>
        <w:sz w:val="20"/>
        <w:szCs w:val="20"/>
      </w:rPr>
      <w:t xml:space="preserve"> </w:t>
    </w:r>
    <w:r>
      <w:rPr>
        <w:sz w:val="20"/>
        <w:szCs w:val="20"/>
      </w:rPr>
      <w:br/>
    </w:r>
    <w:r w:rsidRPr="00865BA8">
      <w:rPr>
        <w:sz w:val="20"/>
        <w:szCs w:val="20"/>
      </w:rPr>
      <w:t>OMB</w:t>
    </w:r>
    <w:r>
      <w:rPr>
        <w:sz w:val="20"/>
        <w:szCs w:val="20"/>
      </w:rPr>
      <w:t xml:space="preserve"> </w:t>
    </w:r>
    <w:r w:rsidRPr="00865BA8">
      <w:rPr>
        <w:sz w:val="20"/>
        <w:szCs w:val="20"/>
      </w:rPr>
      <w:t>Control No. 2120-</w:t>
    </w:r>
    <w:r w:rsidR="00051B14">
      <w:rPr>
        <w:sz w:val="20"/>
        <w:szCs w:val="20"/>
      </w:rPr>
      <w:t>0595</w:t>
    </w:r>
    <w:r w:rsidR="009C66D8">
      <w:tab/>
    </w:r>
    <w:r w:rsidR="009C66D8">
      <w:rPr>
        <w:rFonts w:asciiTheme="majorHAnsi" w:eastAsiaTheme="majorEastAsia" w:hAnsiTheme="majorHAnsi" w:cstheme="majorBidi"/>
      </w:rPr>
      <w:ptab w:relativeTo="margin" w:alignment="right" w:leader="none"/>
    </w:r>
    <w:r w:rsidR="009C66D8">
      <w:rPr>
        <w:rFonts w:asciiTheme="majorHAnsi" w:eastAsiaTheme="majorEastAsia" w:hAnsiTheme="majorHAnsi" w:cstheme="majorBidi"/>
      </w:rPr>
      <w:t>P</w:t>
    </w:r>
    <w:r>
      <w:rPr>
        <w:rFonts w:asciiTheme="majorHAnsi" w:eastAsiaTheme="majorEastAsia" w:hAnsiTheme="majorHAnsi" w:cstheme="majorBidi"/>
      </w:rPr>
      <w:t>g.</w:t>
    </w:r>
    <w:r w:rsidR="009C66D8">
      <w:rPr>
        <w:rFonts w:asciiTheme="majorHAnsi" w:eastAsiaTheme="majorEastAsia" w:hAnsiTheme="majorHAnsi" w:cstheme="majorBidi"/>
      </w:rPr>
      <w:t xml:space="preserve"> </w:t>
    </w:r>
    <w:r w:rsidR="009C66D8">
      <w:rPr>
        <w:rFonts w:asciiTheme="minorHAnsi" w:eastAsiaTheme="minorEastAsia" w:hAnsiTheme="minorHAnsi" w:cstheme="minorBidi"/>
      </w:rPr>
      <w:fldChar w:fldCharType="begin"/>
    </w:r>
    <w:r w:rsidR="009C66D8">
      <w:instrText xml:space="preserve"> PAGE   \* MERGEFORMAT </w:instrText>
    </w:r>
    <w:r w:rsidR="009C66D8">
      <w:rPr>
        <w:rFonts w:asciiTheme="minorHAnsi" w:eastAsiaTheme="minorEastAsia" w:hAnsiTheme="minorHAnsi" w:cstheme="minorBidi"/>
      </w:rPr>
      <w:fldChar w:fldCharType="separate"/>
    </w:r>
    <w:r w:rsidR="00927DB5" w:rsidRPr="00927DB5">
      <w:rPr>
        <w:rFonts w:asciiTheme="majorHAnsi" w:eastAsiaTheme="majorEastAsia" w:hAnsiTheme="majorHAnsi" w:cstheme="majorBidi"/>
        <w:noProof/>
      </w:rPr>
      <w:t>1</w:t>
    </w:r>
    <w:r w:rsidR="009C66D8">
      <w:rPr>
        <w:rFonts w:asciiTheme="majorHAnsi" w:eastAsiaTheme="majorEastAsia" w:hAnsiTheme="majorHAnsi" w:cstheme="majorBidi"/>
        <w:noProof/>
      </w:rPr>
      <w:fldChar w:fldCharType="end"/>
    </w:r>
  </w:p>
  <w:p w14:paraId="339FCF43" w14:textId="77777777" w:rsidR="009C66D8" w:rsidRDefault="009C66D8" w:rsidP="00865BA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E5A37" w14:textId="40C4CAFF" w:rsidR="009C66D8" w:rsidRPr="0006416B" w:rsidRDefault="00190269" w:rsidP="00865BA8">
    <w:r>
      <w:pict w14:anchorId="5FA0A6C8">
        <v:rect id="_x0000_i1026" style="width:0;height:1.5pt" o:hralign="center" o:hrstd="t" o:hrnoshade="t" o:hr="t" fillcolor="navy" stroked="f"/>
      </w:pict>
    </w:r>
    <w:r w:rsidR="009C66D8">
      <w:rPr>
        <w:rStyle w:val="Strong"/>
      </w:rPr>
      <w:t>1.3.12.2 Appraisal Contract Template – EXHIBIT A</w:t>
    </w:r>
    <w:r w:rsidR="009C66D8">
      <w:rPr>
        <w:rStyle w:val="Strong"/>
      </w:rPr>
      <w:br/>
    </w:r>
    <w:r w:rsidR="00051B14">
      <w:rPr>
        <w:sz w:val="20"/>
      </w:rPr>
      <w:t>October</w:t>
    </w:r>
    <w:r w:rsidR="009C66D8">
      <w:rPr>
        <w:sz w:val="20"/>
      </w:rPr>
      <w:t xml:space="preserve"> 2017</w:t>
    </w:r>
    <w:r w:rsidR="009C66D8" w:rsidRPr="00865BA8">
      <w:rPr>
        <w:sz w:val="20"/>
        <w:szCs w:val="20"/>
      </w:rPr>
      <w:t xml:space="preserve"> OMB </w:t>
    </w:r>
    <w:r w:rsidR="009C66D8">
      <w:rPr>
        <w:sz w:val="20"/>
        <w:szCs w:val="20"/>
      </w:rPr>
      <w:br/>
    </w:r>
    <w:r w:rsidR="009C66D8" w:rsidRPr="00865BA8">
      <w:rPr>
        <w:sz w:val="20"/>
        <w:szCs w:val="20"/>
      </w:rPr>
      <w:t>Control No. 2120-0595</w:t>
    </w:r>
    <w:r w:rsidR="009C66D8">
      <w:tab/>
    </w:r>
    <w:r w:rsidR="009C66D8">
      <w:tab/>
    </w:r>
    <w:r w:rsidR="009C66D8">
      <w:tab/>
    </w:r>
    <w:r w:rsidR="009C66D8">
      <w:tab/>
    </w:r>
    <w:r w:rsidR="009C66D8">
      <w:tab/>
    </w:r>
    <w:r w:rsidR="009C66D8">
      <w:tab/>
    </w:r>
    <w:r w:rsidR="009C66D8">
      <w:tab/>
    </w:r>
    <w:r w:rsidR="009C66D8">
      <w:tab/>
    </w:r>
    <w:r w:rsidR="009C66D8">
      <w:tab/>
      <w:t xml:space="preserve">Pg. </w:t>
    </w:r>
    <w:r w:rsidR="009C66D8">
      <w:rPr>
        <w:rStyle w:val="PageNumber"/>
      </w:rPr>
      <w:fldChar w:fldCharType="begin"/>
    </w:r>
    <w:r w:rsidR="009C66D8">
      <w:rPr>
        <w:rStyle w:val="PageNumber"/>
      </w:rPr>
      <w:instrText xml:space="preserve"> PAGE </w:instrText>
    </w:r>
    <w:r w:rsidR="009C66D8">
      <w:rPr>
        <w:rStyle w:val="PageNumber"/>
      </w:rPr>
      <w:fldChar w:fldCharType="separate"/>
    </w:r>
    <w:r w:rsidR="00927DB5">
      <w:rPr>
        <w:rStyle w:val="PageNumber"/>
        <w:noProof/>
      </w:rPr>
      <w:t>6</w:t>
    </w:r>
    <w:r w:rsidR="009C66D8">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3FEFC" w14:textId="14BB514E" w:rsidR="009C66D8" w:rsidRDefault="00190269" w:rsidP="00865BA8">
    <w:r>
      <w:pict w14:anchorId="312B39AC">
        <v:rect id="_x0000_i1027" style="width:0;height:1.5pt" o:hralign="center" o:hrstd="t" o:hrnoshade="t" o:hr="t" fillcolor="navy" stroked="f"/>
      </w:pict>
    </w:r>
    <w:r w:rsidR="009C66D8">
      <w:rPr>
        <w:rStyle w:val="Strong"/>
      </w:rPr>
      <w:t>1.3.12.2 Appraisal Contract Template – EXHIBIT A</w:t>
    </w:r>
    <w:r w:rsidR="009C66D8">
      <w:rPr>
        <w:rStyle w:val="Strong"/>
      </w:rPr>
      <w:br/>
    </w:r>
    <w:r w:rsidR="00051B14">
      <w:rPr>
        <w:sz w:val="20"/>
      </w:rPr>
      <w:t>October</w:t>
    </w:r>
    <w:r w:rsidR="009C66D8">
      <w:rPr>
        <w:sz w:val="20"/>
      </w:rPr>
      <w:t xml:space="preserve"> 2017</w:t>
    </w:r>
    <w:r w:rsidR="009C66D8" w:rsidRPr="00865BA8">
      <w:rPr>
        <w:sz w:val="20"/>
        <w:szCs w:val="20"/>
      </w:rPr>
      <w:t xml:space="preserve"> OMB </w:t>
    </w:r>
    <w:r w:rsidR="009C66D8">
      <w:rPr>
        <w:sz w:val="20"/>
        <w:szCs w:val="20"/>
      </w:rPr>
      <w:br/>
    </w:r>
    <w:r w:rsidR="009C66D8" w:rsidRPr="00865BA8">
      <w:rPr>
        <w:sz w:val="20"/>
        <w:szCs w:val="20"/>
      </w:rPr>
      <w:t>Control No. 2120-0595</w:t>
    </w:r>
    <w:r w:rsidR="009C66D8">
      <w:tab/>
    </w:r>
    <w:r w:rsidR="009C66D8">
      <w:tab/>
    </w:r>
    <w:r w:rsidR="009C66D8">
      <w:tab/>
    </w:r>
    <w:r w:rsidR="009C66D8">
      <w:tab/>
    </w:r>
    <w:r w:rsidR="009C66D8">
      <w:tab/>
    </w:r>
    <w:r w:rsidR="009C66D8">
      <w:tab/>
    </w:r>
    <w:r w:rsidR="009C66D8">
      <w:tab/>
    </w:r>
    <w:r w:rsidR="009C66D8">
      <w:tab/>
    </w:r>
    <w:r w:rsidR="009C66D8">
      <w:tab/>
      <w:t xml:space="preserve">Pg. </w:t>
    </w:r>
    <w:r w:rsidR="009C66D8">
      <w:rPr>
        <w:rStyle w:val="PageNumber"/>
      </w:rPr>
      <w:fldChar w:fldCharType="begin"/>
    </w:r>
    <w:r w:rsidR="009C66D8">
      <w:rPr>
        <w:rStyle w:val="PageNumber"/>
      </w:rPr>
      <w:instrText xml:space="preserve"> PAGE </w:instrText>
    </w:r>
    <w:r w:rsidR="009C66D8">
      <w:rPr>
        <w:rStyle w:val="PageNumber"/>
      </w:rPr>
      <w:fldChar w:fldCharType="separate"/>
    </w:r>
    <w:r w:rsidR="00927DB5">
      <w:rPr>
        <w:rStyle w:val="PageNumber"/>
        <w:noProof/>
      </w:rPr>
      <w:t>1</w:t>
    </w:r>
    <w:r w:rsidR="009C66D8">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B0251" w14:textId="77777777" w:rsidR="009C66D8" w:rsidRDefault="009C66D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882FE" w14:textId="4D46E675" w:rsidR="009C66D8" w:rsidRDefault="006C1329">
    <w:pPr>
      <w:pStyle w:val="Footer"/>
    </w:pPr>
    <w:r>
      <w:rPr>
        <w:rStyle w:val="Strong"/>
      </w:rPr>
      <w:t>1.3.12.2 Appraisal Contract Template</w:t>
    </w:r>
    <w:r>
      <w:rPr>
        <w:rStyle w:val="Strong"/>
      </w:rPr>
      <w:br/>
    </w:r>
    <w:r>
      <w:rPr>
        <w:sz w:val="20"/>
      </w:rPr>
      <w:t>October 2017</w:t>
    </w:r>
    <w:r w:rsidRPr="00865BA8">
      <w:rPr>
        <w:sz w:val="20"/>
        <w:szCs w:val="20"/>
      </w:rPr>
      <w:t xml:space="preserve"> </w:t>
    </w:r>
    <w:r>
      <w:rPr>
        <w:sz w:val="20"/>
        <w:szCs w:val="20"/>
      </w:rPr>
      <w:br/>
    </w:r>
    <w:r w:rsidRPr="00865BA8">
      <w:rPr>
        <w:sz w:val="20"/>
        <w:szCs w:val="20"/>
      </w:rPr>
      <w:t>OMB</w:t>
    </w:r>
    <w:r>
      <w:rPr>
        <w:sz w:val="20"/>
        <w:szCs w:val="20"/>
      </w:rPr>
      <w:t xml:space="preserve"> </w:t>
    </w:r>
    <w:r w:rsidRPr="00865BA8">
      <w:rPr>
        <w:sz w:val="20"/>
        <w:szCs w:val="20"/>
      </w:rPr>
      <w:t>Control No. 2120-0595</w:t>
    </w:r>
    <w:r>
      <w:rPr>
        <w:sz w:val="20"/>
        <w:szCs w:val="20"/>
      </w:rPr>
      <w:tab/>
    </w:r>
    <w:r>
      <w:rPr>
        <w:sz w:val="20"/>
        <w:szCs w:val="20"/>
      </w:rPr>
      <w:tab/>
      <w:t>Pg. 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D23E" w14:textId="77777777" w:rsidR="00190269" w:rsidRDefault="00190269" w:rsidP="00A44FAA">
      <w:pPr>
        <w:spacing w:before="0" w:after="0"/>
      </w:pPr>
      <w:r>
        <w:separator/>
      </w:r>
    </w:p>
  </w:footnote>
  <w:footnote w:type="continuationSeparator" w:id="0">
    <w:p w14:paraId="51CE1E2E" w14:textId="77777777" w:rsidR="00190269" w:rsidRDefault="00190269" w:rsidP="00A44FAA">
      <w:pPr>
        <w:spacing w:before="0" w:after="0"/>
      </w:pPr>
      <w:r>
        <w:continuationSeparator/>
      </w:r>
    </w:p>
  </w:footnote>
  <w:footnote w:type="continuationNotice" w:id="1">
    <w:p w14:paraId="2ABC6D08" w14:textId="77777777" w:rsidR="00190269" w:rsidRDefault="00190269" w:rsidP="009C66D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6F962" w14:textId="77777777" w:rsidR="00CA19AF" w:rsidRDefault="00CA19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7893C" w14:textId="77777777" w:rsidR="009C66D8" w:rsidRPr="002273C1" w:rsidRDefault="009C66D8" w:rsidP="009C66D8">
    <w:pPr>
      <w:pStyle w:val="Header"/>
      <w:spacing w:before="0" w:beforeAutospacing="0" w:after="0" w:afterAutospacing="0"/>
      <w:jc w:val="right"/>
      <w:rPr>
        <w:b/>
        <w:color w:val="808080"/>
      </w:rPr>
    </w:pPr>
    <w:r>
      <w:t xml:space="preserve">                                                                                                    </w:t>
    </w:r>
    <w:r w:rsidRPr="002273C1">
      <w:rPr>
        <w:rStyle w:val="Strong"/>
        <w:b w:val="0"/>
        <w:color w:val="808080"/>
      </w:rPr>
      <w:t>Contract Number</w:t>
    </w:r>
    <w:r>
      <w:rPr>
        <w:rStyle w:val="Strong"/>
        <w:b w:val="0"/>
        <w:color w:val="808080"/>
      </w:rPr>
      <w:t>:</w:t>
    </w:r>
  </w:p>
  <w:p w14:paraId="0C48A628" w14:textId="77777777" w:rsidR="009C66D8" w:rsidRPr="00C36374" w:rsidRDefault="009C66D8" w:rsidP="009C66D8">
    <w:pPr>
      <w:pStyle w:val="Header"/>
      <w:spacing w:before="0" w:beforeAutospacing="0" w:after="0" w:afterAutospacing="0"/>
      <w:jc w:val="right"/>
      <w:rPr>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C9CA2" w14:textId="77777777" w:rsidR="009C66D8" w:rsidRPr="002273C1" w:rsidRDefault="009C66D8" w:rsidP="009C66D8">
    <w:pPr>
      <w:pStyle w:val="Header"/>
      <w:spacing w:before="0" w:beforeAutospacing="0" w:after="0" w:afterAutospacing="0"/>
      <w:jc w:val="right"/>
      <w:rPr>
        <w:color w:val="808080"/>
      </w:rPr>
    </w:pPr>
    <w:r>
      <w:tab/>
      <w:t xml:space="preserve">                                                                                    </w:t>
    </w:r>
    <w:r w:rsidRPr="002273C1">
      <w:rPr>
        <w:color w:val="808080"/>
      </w:rPr>
      <w:t>Location (type of facility)</w:t>
    </w:r>
  </w:p>
  <w:p w14:paraId="5421DD06" w14:textId="77777777" w:rsidR="009C66D8" w:rsidRPr="00B02B3B" w:rsidRDefault="009C66D8" w:rsidP="009C66D8">
    <w:pPr>
      <w:pStyle w:val="Header"/>
      <w:spacing w:before="0" w:beforeAutospacing="0" w:after="0" w:afterAutospacing="0"/>
      <w:jc w:val="right"/>
      <w:rPr>
        <w:color w:val="808080"/>
      </w:rPr>
    </w:pPr>
    <w:r>
      <w:t xml:space="preserve">                                                                                                    </w:t>
    </w:r>
    <w:r w:rsidRPr="002273C1">
      <w:rPr>
        <w:color w:val="808080"/>
      </w:rPr>
      <w:t>City, ST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04E5A" w14:textId="77777777" w:rsidR="009C66D8" w:rsidRPr="00C36374" w:rsidRDefault="009C66D8" w:rsidP="009C66D8">
    <w:pPr>
      <w:pStyle w:val="Header"/>
      <w:spacing w:before="0" w:beforeAutospacing="0" w:after="0" w:afterAutospacing="0"/>
      <w:jc w:val="right"/>
      <w:rPr>
        <w:color w:val="808080"/>
      </w:rPr>
    </w:pPr>
    <w:r w:rsidRPr="002273C1">
      <w:rPr>
        <w:rStyle w:val="Strong"/>
        <w:b w:val="0"/>
        <w:color w:val="808080"/>
      </w:rPr>
      <w:t>Contract Number</w:t>
    </w:r>
    <w:r>
      <w:rPr>
        <w:rStyle w:val="Strong"/>
        <w:b w:val="0"/>
        <w:color w:val="808080"/>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01F24" w14:textId="77777777" w:rsidR="009C66D8" w:rsidRPr="000855A5" w:rsidRDefault="009C66D8" w:rsidP="00985672">
    <w:pPr>
      <w:pStyle w:val="Header"/>
      <w:jc w:val="right"/>
    </w:pPr>
    <w:r w:rsidRPr="002273C1">
      <w:rPr>
        <w:rStyle w:val="Strong"/>
        <w:b w:val="0"/>
        <w:color w:val="808080"/>
      </w:rPr>
      <w:t>Contract Number</w:t>
    </w:r>
    <w:r>
      <w:rPr>
        <w:rStyle w:val="Strong"/>
        <w:b w:val="0"/>
        <w:color w:val="808080"/>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CA928" w14:textId="5A262649" w:rsidR="009C66D8" w:rsidRDefault="009C66D8" w:rsidP="002B2346">
    <w:pPr>
      <w:pStyle w:val="Header"/>
      <w:jc w:val="right"/>
    </w:pPr>
    <w:r w:rsidRPr="002273C1">
      <w:rPr>
        <w:rStyle w:val="Strong"/>
        <w:b w:val="0"/>
        <w:color w:val="808080"/>
      </w:rPr>
      <w:t>Contract Number</w:t>
    </w:r>
    <w:r>
      <w:rPr>
        <w:rStyle w:val="Strong"/>
        <w:b w:val="0"/>
        <w:color w:val="80808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A007A"/>
    <w:multiLevelType w:val="hybridMultilevel"/>
    <w:tmpl w:val="CBB0B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C3B7A"/>
    <w:multiLevelType w:val="hybridMultilevel"/>
    <w:tmpl w:val="E7E0052E"/>
    <w:lvl w:ilvl="0" w:tplc="D9C03A5E">
      <w:start w:val="1"/>
      <w:numFmt w:val="bullet"/>
      <w:lvlText w:val="-"/>
      <w:lvlJc w:val="left"/>
      <w:pPr>
        <w:ind w:left="1080" w:hanging="360"/>
      </w:pPr>
      <w:rPr>
        <w:rFonts w:ascii="Times New Roman" w:eastAsia="Symbo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4A0814"/>
    <w:multiLevelType w:val="hybridMultilevel"/>
    <w:tmpl w:val="530A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51436"/>
    <w:multiLevelType w:val="hybridMultilevel"/>
    <w:tmpl w:val="B104917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C4F13"/>
    <w:multiLevelType w:val="hybridMultilevel"/>
    <w:tmpl w:val="C0F4FCCA"/>
    <w:lvl w:ilvl="0" w:tplc="0409000F">
      <w:start w:val="1"/>
      <w:numFmt w:val="decimal"/>
      <w:lvlText w:val="%1."/>
      <w:lvlJc w:val="left"/>
      <w:pPr>
        <w:ind w:left="900" w:hanging="72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173FB4"/>
    <w:multiLevelType w:val="hybridMultilevel"/>
    <w:tmpl w:val="FEB4D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3B395F"/>
    <w:multiLevelType w:val="hybridMultilevel"/>
    <w:tmpl w:val="742A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75F58"/>
    <w:multiLevelType w:val="hybridMultilevel"/>
    <w:tmpl w:val="71A43B74"/>
    <w:lvl w:ilvl="0" w:tplc="5CF6B0D2">
      <w:start w:val="1"/>
      <w:numFmt w:val="decimal"/>
      <w:pStyle w:val="Heading1"/>
      <w:lvlText w:val="%1."/>
      <w:lvlJc w:val="left"/>
      <w:pPr>
        <w:ind w:left="810" w:hanging="72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6E110DE"/>
    <w:multiLevelType w:val="hybridMultilevel"/>
    <w:tmpl w:val="A6C67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3C6E01"/>
    <w:multiLevelType w:val="hybridMultilevel"/>
    <w:tmpl w:val="D39E0474"/>
    <w:lvl w:ilvl="0" w:tplc="9064E382">
      <w:start w:val="2"/>
      <w:numFmt w:val="decimal"/>
      <w:lvlText w:val="%1."/>
      <w:lvlJc w:val="left"/>
      <w:pPr>
        <w:ind w:left="90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202024"/>
    <w:multiLevelType w:val="multilevel"/>
    <w:tmpl w:val="86F6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61F1A3D"/>
    <w:multiLevelType w:val="multilevel"/>
    <w:tmpl w:val="91F8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F225D42"/>
    <w:multiLevelType w:val="multilevel"/>
    <w:tmpl w:val="F1700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900157"/>
    <w:multiLevelType w:val="hybridMultilevel"/>
    <w:tmpl w:val="332CB0E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7561637C"/>
    <w:multiLevelType w:val="hybridMultilevel"/>
    <w:tmpl w:val="8FD4381C"/>
    <w:lvl w:ilvl="0" w:tplc="D4B24142">
      <w:start w:val="12"/>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6F65DB"/>
    <w:multiLevelType w:val="hybridMultilevel"/>
    <w:tmpl w:val="17CE9172"/>
    <w:lvl w:ilvl="0" w:tplc="2DF44F1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11"/>
  </w:num>
  <w:num w:numId="4">
    <w:abstractNumId w:val="6"/>
  </w:num>
  <w:num w:numId="5">
    <w:abstractNumId w:val="5"/>
  </w:num>
  <w:num w:numId="6">
    <w:abstractNumId w:val="7"/>
  </w:num>
  <w:num w:numId="7">
    <w:abstractNumId w:val="8"/>
  </w:num>
  <w:num w:numId="8">
    <w:abstractNumId w:val="15"/>
  </w:num>
  <w:num w:numId="9">
    <w:abstractNumId w:val="7"/>
    <w:lvlOverride w:ilvl="0">
      <w:startOverride w:val="1"/>
    </w:lvlOverride>
  </w:num>
  <w:num w:numId="10">
    <w:abstractNumId w:val="4"/>
  </w:num>
  <w:num w:numId="11">
    <w:abstractNumId w:val="9"/>
  </w:num>
  <w:num w:numId="12">
    <w:abstractNumId w:val="7"/>
    <w:lvlOverride w:ilvl="0">
      <w:startOverride w:val="1"/>
    </w:lvlOverride>
  </w:num>
  <w:num w:numId="13">
    <w:abstractNumId w:val="13"/>
  </w:num>
  <w:num w:numId="14">
    <w:abstractNumId w:val="14"/>
  </w:num>
  <w:num w:numId="15">
    <w:abstractNumId w:val="7"/>
    <w:lvlOverride w:ilvl="0">
      <w:startOverride w:val="1"/>
    </w:lvlOverride>
  </w:num>
  <w:num w:numId="16">
    <w:abstractNumId w:val="1"/>
  </w:num>
  <w:num w:numId="17">
    <w:abstractNumId w:val="0"/>
  </w:num>
  <w:num w:numId="18">
    <w:abstractNumId w:val="3"/>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FAA"/>
    <w:rsid w:val="000017B1"/>
    <w:rsid w:val="0000282F"/>
    <w:rsid w:val="00014C7F"/>
    <w:rsid w:val="000170B3"/>
    <w:rsid w:val="00024FE1"/>
    <w:rsid w:val="00037C15"/>
    <w:rsid w:val="000444EB"/>
    <w:rsid w:val="00051B14"/>
    <w:rsid w:val="0006416B"/>
    <w:rsid w:val="000855A5"/>
    <w:rsid w:val="000914EC"/>
    <w:rsid w:val="000A18F1"/>
    <w:rsid w:val="000A2070"/>
    <w:rsid w:val="000B68EC"/>
    <w:rsid w:val="000C1B57"/>
    <w:rsid w:val="000C57A2"/>
    <w:rsid w:val="000D127B"/>
    <w:rsid w:val="000D488D"/>
    <w:rsid w:val="000F5708"/>
    <w:rsid w:val="0011034B"/>
    <w:rsid w:val="00123B35"/>
    <w:rsid w:val="00134059"/>
    <w:rsid w:val="00144559"/>
    <w:rsid w:val="0015105D"/>
    <w:rsid w:val="0015398C"/>
    <w:rsid w:val="00163164"/>
    <w:rsid w:val="00182FA7"/>
    <w:rsid w:val="00185585"/>
    <w:rsid w:val="00186034"/>
    <w:rsid w:val="00190269"/>
    <w:rsid w:val="001A0233"/>
    <w:rsid w:val="001B0F70"/>
    <w:rsid w:val="001B380C"/>
    <w:rsid w:val="001C660B"/>
    <w:rsid w:val="001D50AE"/>
    <w:rsid w:val="001E4F98"/>
    <w:rsid w:val="001F5D26"/>
    <w:rsid w:val="0020058A"/>
    <w:rsid w:val="0020559C"/>
    <w:rsid w:val="002128D6"/>
    <w:rsid w:val="00217B68"/>
    <w:rsid w:val="002273C1"/>
    <w:rsid w:val="002421B5"/>
    <w:rsid w:val="00242ABA"/>
    <w:rsid w:val="0027197C"/>
    <w:rsid w:val="00290B89"/>
    <w:rsid w:val="0029659B"/>
    <w:rsid w:val="0029694F"/>
    <w:rsid w:val="002A2FB6"/>
    <w:rsid w:val="002A7BB3"/>
    <w:rsid w:val="002B2346"/>
    <w:rsid w:val="002B349D"/>
    <w:rsid w:val="002B4E95"/>
    <w:rsid w:val="002B6798"/>
    <w:rsid w:val="002C2E3B"/>
    <w:rsid w:val="002E0CCB"/>
    <w:rsid w:val="00302F1E"/>
    <w:rsid w:val="00303AC1"/>
    <w:rsid w:val="00306A41"/>
    <w:rsid w:val="003470F3"/>
    <w:rsid w:val="003528D5"/>
    <w:rsid w:val="003548C6"/>
    <w:rsid w:val="003641C2"/>
    <w:rsid w:val="0037080E"/>
    <w:rsid w:val="003925AD"/>
    <w:rsid w:val="00397BFC"/>
    <w:rsid w:val="003A3BA3"/>
    <w:rsid w:val="003A4516"/>
    <w:rsid w:val="003D7D6D"/>
    <w:rsid w:val="003E500F"/>
    <w:rsid w:val="003E5F56"/>
    <w:rsid w:val="003F0A8F"/>
    <w:rsid w:val="003F3058"/>
    <w:rsid w:val="003F372F"/>
    <w:rsid w:val="004002FE"/>
    <w:rsid w:val="00401795"/>
    <w:rsid w:val="00402B84"/>
    <w:rsid w:val="00406C4B"/>
    <w:rsid w:val="00415066"/>
    <w:rsid w:val="00441A36"/>
    <w:rsid w:val="00446C5D"/>
    <w:rsid w:val="004634F8"/>
    <w:rsid w:val="00473136"/>
    <w:rsid w:val="004758EE"/>
    <w:rsid w:val="00485363"/>
    <w:rsid w:val="004A3F59"/>
    <w:rsid w:val="004C7703"/>
    <w:rsid w:val="004D01AD"/>
    <w:rsid w:val="004D082D"/>
    <w:rsid w:val="004D6C6B"/>
    <w:rsid w:val="004E10DB"/>
    <w:rsid w:val="004E2BB0"/>
    <w:rsid w:val="004F6BCA"/>
    <w:rsid w:val="005234DE"/>
    <w:rsid w:val="00526B1D"/>
    <w:rsid w:val="00527AF0"/>
    <w:rsid w:val="00576946"/>
    <w:rsid w:val="00576FF8"/>
    <w:rsid w:val="005B0BF7"/>
    <w:rsid w:val="005B6DFF"/>
    <w:rsid w:val="005B7922"/>
    <w:rsid w:val="005C60CF"/>
    <w:rsid w:val="005E5F9F"/>
    <w:rsid w:val="005F1D8E"/>
    <w:rsid w:val="00601C87"/>
    <w:rsid w:val="00602656"/>
    <w:rsid w:val="0060601D"/>
    <w:rsid w:val="006062C0"/>
    <w:rsid w:val="00611DF6"/>
    <w:rsid w:val="00643D92"/>
    <w:rsid w:val="006641A6"/>
    <w:rsid w:val="00671E60"/>
    <w:rsid w:val="006753F3"/>
    <w:rsid w:val="006846A1"/>
    <w:rsid w:val="00686B6C"/>
    <w:rsid w:val="006A5A16"/>
    <w:rsid w:val="006B07BB"/>
    <w:rsid w:val="006C1329"/>
    <w:rsid w:val="006D2351"/>
    <w:rsid w:val="00701401"/>
    <w:rsid w:val="007057EA"/>
    <w:rsid w:val="007102CE"/>
    <w:rsid w:val="00721E72"/>
    <w:rsid w:val="007224BF"/>
    <w:rsid w:val="00730DB9"/>
    <w:rsid w:val="00735468"/>
    <w:rsid w:val="007367F2"/>
    <w:rsid w:val="0074330C"/>
    <w:rsid w:val="00760FEA"/>
    <w:rsid w:val="00776D40"/>
    <w:rsid w:val="00796008"/>
    <w:rsid w:val="007B12C4"/>
    <w:rsid w:val="007B330A"/>
    <w:rsid w:val="007C3611"/>
    <w:rsid w:val="007C3801"/>
    <w:rsid w:val="007D05BB"/>
    <w:rsid w:val="007E02D1"/>
    <w:rsid w:val="007E1E6D"/>
    <w:rsid w:val="007E4147"/>
    <w:rsid w:val="00805EE8"/>
    <w:rsid w:val="00813B65"/>
    <w:rsid w:val="0081491D"/>
    <w:rsid w:val="00823BBD"/>
    <w:rsid w:val="00844B6A"/>
    <w:rsid w:val="00850322"/>
    <w:rsid w:val="0086151F"/>
    <w:rsid w:val="00865BA8"/>
    <w:rsid w:val="00866785"/>
    <w:rsid w:val="0088487D"/>
    <w:rsid w:val="00890775"/>
    <w:rsid w:val="00892D10"/>
    <w:rsid w:val="008C7E6A"/>
    <w:rsid w:val="008D683F"/>
    <w:rsid w:val="008E134C"/>
    <w:rsid w:val="008F619D"/>
    <w:rsid w:val="009024BE"/>
    <w:rsid w:val="0092178B"/>
    <w:rsid w:val="00922030"/>
    <w:rsid w:val="00923F5C"/>
    <w:rsid w:val="00927DB5"/>
    <w:rsid w:val="0093390E"/>
    <w:rsid w:val="00934760"/>
    <w:rsid w:val="009377DE"/>
    <w:rsid w:val="00942286"/>
    <w:rsid w:val="009521F1"/>
    <w:rsid w:val="00953603"/>
    <w:rsid w:val="00960A87"/>
    <w:rsid w:val="009623B4"/>
    <w:rsid w:val="00967FDF"/>
    <w:rsid w:val="0098563A"/>
    <w:rsid w:val="00985672"/>
    <w:rsid w:val="00990EE5"/>
    <w:rsid w:val="00991B5E"/>
    <w:rsid w:val="009A38BE"/>
    <w:rsid w:val="009A4F98"/>
    <w:rsid w:val="009C66D8"/>
    <w:rsid w:val="009E706D"/>
    <w:rsid w:val="009F01AD"/>
    <w:rsid w:val="009F511D"/>
    <w:rsid w:val="009F6DFD"/>
    <w:rsid w:val="00A10F20"/>
    <w:rsid w:val="00A32928"/>
    <w:rsid w:val="00A44FAA"/>
    <w:rsid w:val="00A500F6"/>
    <w:rsid w:val="00A523C0"/>
    <w:rsid w:val="00A550DB"/>
    <w:rsid w:val="00A642B2"/>
    <w:rsid w:val="00A6481B"/>
    <w:rsid w:val="00A66A7F"/>
    <w:rsid w:val="00A81A71"/>
    <w:rsid w:val="00A8449C"/>
    <w:rsid w:val="00A86F9E"/>
    <w:rsid w:val="00A91CF0"/>
    <w:rsid w:val="00AA176B"/>
    <w:rsid w:val="00AA4849"/>
    <w:rsid w:val="00AA53E3"/>
    <w:rsid w:val="00AA7592"/>
    <w:rsid w:val="00AB6FEC"/>
    <w:rsid w:val="00AC3CBF"/>
    <w:rsid w:val="00AC4760"/>
    <w:rsid w:val="00AF0198"/>
    <w:rsid w:val="00AF4255"/>
    <w:rsid w:val="00B01275"/>
    <w:rsid w:val="00B02B3B"/>
    <w:rsid w:val="00B050A1"/>
    <w:rsid w:val="00B05F5C"/>
    <w:rsid w:val="00B169BB"/>
    <w:rsid w:val="00B479E6"/>
    <w:rsid w:val="00B57089"/>
    <w:rsid w:val="00B670FD"/>
    <w:rsid w:val="00B67DED"/>
    <w:rsid w:val="00B726EE"/>
    <w:rsid w:val="00B77BFD"/>
    <w:rsid w:val="00BB0C22"/>
    <w:rsid w:val="00BB1146"/>
    <w:rsid w:val="00BB3077"/>
    <w:rsid w:val="00BB5325"/>
    <w:rsid w:val="00BB70CD"/>
    <w:rsid w:val="00BB75B8"/>
    <w:rsid w:val="00BC1903"/>
    <w:rsid w:val="00BF2CEF"/>
    <w:rsid w:val="00C13613"/>
    <w:rsid w:val="00C312CD"/>
    <w:rsid w:val="00C33D6E"/>
    <w:rsid w:val="00C36374"/>
    <w:rsid w:val="00C41991"/>
    <w:rsid w:val="00C6569A"/>
    <w:rsid w:val="00C74F82"/>
    <w:rsid w:val="00C85881"/>
    <w:rsid w:val="00CA19AF"/>
    <w:rsid w:val="00CA582F"/>
    <w:rsid w:val="00CD7F03"/>
    <w:rsid w:val="00CE61A6"/>
    <w:rsid w:val="00CF2D9E"/>
    <w:rsid w:val="00CF4C55"/>
    <w:rsid w:val="00D0306B"/>
    <w:rsid w:val="00D103EF"/>
    <w:rsid w:val="00D14968"/>
    <w:rsid w:val="00D316FC"/>
    <w:rsid w:val="00D33AA9"/>
    <w:rsid w:val="00D43FDD"/>
    <w:rsid w:val="00D62167"/>
    <w:rsid w:val="00D76260"/>
    <w:rsid w:val="00D84361"/>
    <w:rsid w:val="00D969C8"/>
    <w:rsid w:val="00DB284D"/>
    <w:rsid w:val="00DC5B48"/>
    <w:rsid w:val="00DD55F6"/>
    <w:rsid w:val="00DD73C3"/>
    <w:rsid w:val="00DE3CB4"/>
    <w:rsid w:val="00E01970"/>
    <w:rsid w:val="00E30703"/>
    <w:rsid w:val="00E50044"/>
    <w:rsid w:val="00E559AC"/>
    <w:rsid w:val="00E57FA7"/>
    <w:rsid w:val="00E62956"/>
    <w:rsid w:val="00E74810"/>
    <w:rsid w:val="00E956BB"/>
    <w:rsid w:val="00E9601C"/>
    <w:rsid w:val="00EA2FA5"/>
    <w:rsid w:val="00EB5AB4"/>
    <w:rsid w:val="00ED1743"/>
    <w:rsid w:val="00ED6411"/>
    <w:rsid w:val="00ED6AEF"/>
    <w:rsid w:val="00ED6E7E"/>
    <w:rsid w:val="00EE1E98"/>
    <w:rsid w:val="00F04358"/>
    <w:rsid w:val="00F233CC"/>
    <w:rsid w:val="00F512B4"/>
    <w:rsid w:val="00F560C3"/>
    <w:rsid w:val="00F87057"/>
    <w:rsid w:val="00F873B7"/>
    <w:rsid w:val="00F9631E"/>
    <w:rsid w:val="00FA7C4A"/>
    <w:rsid w:val="00FC69DA"/>
    <w:rsid w:val="00FE4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1A14A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B68"/>
    <w:pPr>
      <w:spacing w:before="100" w:beforeAutospacing="1" w:after="100" w:afterAutospacing="1" w:line="240" w:lineRule="auto"/>
    </w:pPr>
    <w:rPr>
      <w:rFonts w:ascii="Times New Roman" w:eastAsia="Times New Roman" w:hAnsi="Times New Roman" w:cs="Times New Roman"/>
      <w:sz w:val="24"/>
      <w:szCs w:val="24"/>
    </w:rPr>
  </w:style>
  <w:style w:type="paragraph" w:styleId="Heading1">
    <w:name w:val="heading 1"/>
    <w:basedOn w:val="NormalWeb"/>
    <w:next w:val="Normal"/>
    <w:link w:val="Heading1Char"/>
    <w:qFormat/>
    <w:rsid w:val="009C66D8"/>
    <w:pPr>
      <w:numPr>
        <w:numId w:val="6"/>
      </w:numPr>
      <w:outlineLvl w:val="0"/>
    </w:pPr>
    <w:rPr>
      <w:b/>
      <w:bCs/>
      <w:u w:val="single"/>
    </w:rPr>
  </w:style>
  <w:style w:type="paragraph" w:styleId="Heading2">
    <w:name w:val="heading 2"/>
    <w:basedOn w:val="Normal"/>
    <w:next w:val="Normal"/>
    <w:link w:val="Heading2Char"/>
    <w:semiHidden/>
    <w:unhideWhenUsed/>
    <w:qFormat/>
    <w:rsid w:val="009C66D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A44FAA"/>
    <w:rPr>
      <w:b/>
      <w:bCs/>
    </w:rPr>
  </w:style>
  <w:style w:type="paragraph" w:styleId="NormalWeb">
    <w:name w:val="Normal (Web)"/>
    <w:basedOn w:val="Normal"/>
    <w:rsid w:val="00A44FAA"/>
  </w:style>
  <w:style w:type="character" w:styleId="Emphasis">
    <w:name w:val="Emphasis"/>
    <w:qFormat/>
    <w:rsid w:val="00A44FAA"/>
    <w:rPr>
      <w:i/>
      <w:iCs/>
    </w:rPr>
  </w:style>
  <w:style w:type="character" w:styleId="Hyperlink">
    <w:name w:val="Hyperlink"/>
    <w:rsid w:val="00A44FAA"/>
    <w:rPr>
      <w:color w:val="0000FF"/>
      <w:u w:val="single"/>
    </w:rPr>
  </w:style>
  <w:style w:type="paragraph" w:styleId="Header">
    <w:name w:val="header"/>
    <w:basedOn w:val="Normal"/>
    <w:link w:val="HeaderChar"/>
    <w:rsid w:val="00A500F6"/>
    <w:pPr>
      <w:tabs>
        <w:tab w:val="center" w:pos="4320"/>
        <w:tab w:val="right" w:pos="8640"/>
      </w:tabs>
    </w:pPr>
  </w:style>
  <w:style w:type="character" w:customStyle="1" w:styleId="HeaderChar">
    <w:name w:val="Header Char"/>
    <w:basedOn w:val="DefaultParagraphFont"/>
    <w:link w:val="Header"/>
    <w:rsid w:val="00A44FAA"/>
    <w:rPr>
      <w:rFonts w:ascii="Times New Roman" w:eastAsia="Times New Roman" w:hAnsi="Times New Roman" w:cs="Times New Roman"/>
      <w:sz w:val="24"/>
      <w:szCs w:val="24"/>
    </w:rPr>
  </w:style>
  <w:style w:type="paragraph" w:styleId="Footer">
    <w:name w:val="footer"/>
    <w:basedOn w:val="Normal"/>
    <w:link w:val="FooterChar"/>
    <w:uiPriority w:val="99"/>
    <w:rsid w:val="00A500F6"/>
    <w:pPr>
      <w:tabs>
        <w:tab w:val="center" w:pos="4320"/>
        <w:tab w:val="right" w:pos="8640"/>
      </w:tabs>
    </w:pPr>
  </w:style>
  <w:style w:type="character" w:customStyle="1" w:styleId="FooterChar">
    <w:name w:val="Footer Char"/>
    <w:basedOn w:val="DefaultParagraphFont"/>
    <w:link w:val="Footer"/>
    <w:uiPriority w:val="99"/>
    <w:rsid w:val="00A44FAA"/>
    <w:rPr>
      <w:rFonts w:ascii="Times New Roman" w:eastAsia="Times New Roman" w:hAnsi="Times New Roman" w:cs="Times New Roman"/>
      <w:sz w:val="24"/>
      <w:szCs w:val="24"/>
    </w:rPr>
  </w:style>
  <w:style w:type="paragraph" w:styleId="BalloonText">
    <w:name w:val="Balloon Text"/>
    <w:basedOn w:val="Normal"/>
    <w:link w:val="BalloonTextChar"/>
    <w:rsid w:val="00473136"/>
    <w:rPr>
      <w:rFonts w:ascii="Tahoma" w:hAnsi="Tahoma" w:cs="Tahoma"/>
      <w:sz w:val="16"/>
      <w:szCs w:val="16"/>
    </w:rPr>
  </w:style>
  <w:style w:type="character" w:customStyle="1" w:styleId="BalloonTextChar">
    <w:name w:val="Balloon Text Char"/>
    <w:basedOn w:val="DefaultParagraphFont"/>
    <w:link w:val="BalloonText"/>
    <w:rsid w:val="00A44FAA"/>
    <w:rPr>
      <w:rFonts w:ascii="Tahoma" w:eastAsia="Times New Roman" w:hAnsi="Tahoma" w:cs="Tahoma"/>
      <w:sz w:val="16"/>
      <w:szCs w:val="16"/>
    </w:rPr>
  </w:style>
  <w:style w:type="character" w:customStyle="1" w:styleId="Heading1Char">
    <w:name w:val="Heading 1 Char"/>
    <w:basedOn w:val="DefaultParagraphFont"/>
    <w:link w:val="Heading1"/>
    <w:rsid w:val="009C66D8"/>
    <w:rPr>
      <w:rFonts w:ascii="Times New Roman" w:eastAsia="Times New Roman" w:hAnsi="Times New Roman" w:cs="Times New Roman"/>
      <w:b/>
      <w:bCs/>
      <w:sz w:val="24"/>
      <w:szCs w:val="24"/>
      <w:u w:val="single"/>
    </w:rPr>
  </w:style>
  <w:style w:type="character" w:customStyle="1" w:styleId="Heading2Char">
    <w:name w:val="Heading 2 Char"/>
    <w:basedOn w:val="DefaultParagraphFont"/>
    <w:link w:val="Heading2"/>
    <w:semiHidden/>
    <w:rsid w:val="009C66D8"/>
    <w:rPr>
      <w:rFonts w:ascii="Cambria" w:eastAsia="Times New Roman" w:hAnsi="Cambria" w:cs="Times New Roman"/>
      <w:b/>
      <w:bCs/>
      <w:i/>
      <w:iCs/>
      <w:sz w:val="28"/>
      <w:szCs w:val="28"/>
    </w:rPr>
  </w:style>
  <w:style w:type="character" w:styleId="FollowedHyperlink">
    <w:name w:val="FollowedHyperlink"/>
    <w:rsid w:val="009C66D8"/>
    <w:rPr>
      <w:color w:val="0000FF"/>
      <w:u w:val="single"/>
    </w:rPr>
  </w:style>
  <w:style w:type="character" w:styleId="PageNumber">
    <w:name w:val="page number"/>
    <w:basedOn w:val="DefaultParagraphFont"/>
    <w:rsid w:val="009C66D8"/>
  </w:style>
  <w:style w:type="paragraph" w:styleId="FootnoteText">
    <w:name w:val="footnote text"/>
    <w:basedOn w:val="Normal"/>
    <w:link w:val="FootnoteTextChar"/>
    <w:rsid w:val="009C66D8"/>
    <w:rPr>
      <w:sz w:val="20"/>
      <w:szCs w:val="20"/>
    </w:rPr>
  </w:style>
  <w:style w:type="character" w:customStyle="1" w:styleId="FootnoteTextChar">
    <w:name w:val="Footnote Text Char"/>
    <w:basedOn w:val="DefaultParagraphFont"/>
    <w:link w:val="FootnoteText"/>
    <w:rsid w:val="009C66D8"/>
    <w:rPr>
      <w:rFonts w:ascii="Times New Roman" w:eastAsia="Times New Roman" w:hAnsi="Times New Roman" w:cs="Times New Roman"/>
      <w:sz w:val="20"/>
      <w:szCs w:val="20"/>
    </w:rPr>
  </w:style>
  <w:style w:type="character" w:styleId="FootnoteReference">
    <w:name w:val="footnote reference"/>
    <w:rsid w:val="009C66D8"/>
    <w:rPr>
      <w:vertAlign w:val="superscript"/>
    </w:rPr>
  </w:style>
  <w:style w:type="paragraph" w:styleId="Revision">
    <w:name w:val="Revision"/>
    <w:hidden/>
    <w:uiPriority w:val="99"/>
    <w:semiHidden/>
    <w:rsid w:val="009C66D8"/>
    <w:pPr>
      <w:spacing w:after="0" w:line="240" w:lineRule="auto"/>
    </w:pPr>
    <w:rPr>
      <w:rFonts w:ascii="Times New Roman" w:eastAsia="Times New Roman" w:hAnsi="Times New Roman" w:cs="Times New Roman"/>
      <w:sz w:val="24"/>
      <w:szCs w:val="24"/>
    </w:rPr>
  </w:style>
  <w:style w:type="character" w:styleId="CommentReference">
    <w:name w:val="annotation reference"/>
    <w:rsid w:val="009C66D8"/>
    <w:rPr>
      <w:sz w:val="16"/>
      <w:szCs w:val="16"/>
    </w:rPr>
  </w:style>
  <w:style w:type="paragraph" w:styleId="CommentText">
    <w:name w:val="annotation text"/>
    <w:basedOn w:val="Normal"/>
    <w:link w:val="CommentTextChar"/>
    <w:rsid w:val="009C66D8"/>
    <w:rPr>
      <w:sz w:val="20"/>
      <w:szCs w:val="20"/>
    </w:rPr>
  </w:style>
  <w:style w:type="character" w:customStyle="1" w:styleId="CommentTextChar">
    <w:name w:val="Comment Text Char"/>
    <w:basedOn w:val="DefaultParagraphFont"/>
    <w:link w:val="CommentText"/>
    <w:rsid w:val="009C66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9C66D8"/>
    <w:rPr>
      <w:b/>
      <w:bCs/>
    </w:rPr>
  </w:style>
  <w:style w:type="character" w:customStyle="1" w:styleId="CommentSubjectChar">
    <w:name w:val="Comment Subject Char"/>
    <w:basedOn w:val="CommentTextChar"/>
    <w:link w:val="CommentSubject"/>
    <w:rsid w:val="009C66D8"/>
    <w:rPr>
      <w:rFonts w:ascii="Times New Roman" w:eastAsia="Times New Roman" w:hAnsi="Times New Roman" w:cs="Times New Roman"/>
      <w:b/>
      <w:bCs/>
      <w:sz w:val="20"/>
      <w:szCs w:val="20"/>
    </w:rPr>
  </w:style>
  <w:style w:type="paragraph" w:styleId="ListParagraph">
    <w:name w:val="List Paragraph"/>
    <w:basedOn w:val="Normal"/>
    <w:uiPriority w:val="34"/>
    <w:qFormat/>
    <w:rsid w:val="005B7922"/>
    <w:pPr>
      <w:spacing w:before="0" w:beforeAutospacing="0" w:after="0" w:afterAutospacing="0"/>
      <w:ind w:left="720"/>
      <w:contextualSpacing/>
    </w:pPr>
    <w:rPr>
      <w:rFonts w:ascii="Calibri" w:eastAsia="Calibri" w:hAnsi="Calibri"/>
      <w:sz w:val="22"/>
      <w:szCs w:val="22"/>
    </w:rPr>
  </w:style>
  <w:style w:type="paragraph" w:customStyle="1" w:styleId="Pa22">
    <w:name w:val="Pa22"/>
    <w:basedOn w:val="Normal"/>
    <w:next w:val="Normal"/>
    <w:uiPriority w:val="99"/>
    <w:rsid w:val="00123B35"/>
    <w:pPr>
      <w:autoSpaceDE w:val="0"/>
      <w:autoSpaceDN w:val="0"/>
      <w:adjustRightInd w:val="0"/>
      <w:spacing w:before="0" w:beforeAutospacing="0" w:after="0" w:afterAutospacing="0" w:line="221" w:lineRule="atLeast"/>
    </w:pPr>
    <w:rPr>
      <w:rFonts w:ascii="Baskerville" w:hAnsi="Baskerville"/>
    </w:rPr>
  </w:style>
  <w:style w:type="table" w:styleId="TableGrid">
    <w:name w:val="Table Grid"/>
    <w:basedOn w:val="TableNormal"/>
    <w:uiPriority w:val="59"/>
    <w:rsid w:val="002C2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hyperlink" Target="http://conwrite.faa.gov"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justice.gov/sites/default/files/enrd/legacy/2010/11/16/Uniform-Appraisal-Standards.pdf" TargetMode="External"/><Relationship Id="rId14" Type="http://schemas.openxmlformats.org/officeDocument/2006/relationships/footer" Target="foot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42A2B-0257-4B89-B80F-7CFE7FFC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3753</Words>
  <Characters>21393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2017-10-18T19:41:00Z</dcterms:created>
  <dcterms:modified xsi:type="dcterms:W3CDTF">2017-10-19T11:18:00Z</dcterms:modified>
</cp:coreProperties>
</file>