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3388" w14:textId="77777777" w:rsidR="00473FA9" w:rsidRDefault="00473FA9" w:rsidP="00EA244A">
      <w:pPr>
        <w:jc w:val="center"/>
        <w:rPr>
          <w:noProof/>
          <w:color w:val="000000"/>
        </w:rPr>
      </w:pPr>
    </w:p>
    <w:p w14:paraId="7359D49A" w14:textId="77777777" w:rsidR="00060097" w:rsidRDefault="00EA244A" w:rsidP="00EA244A">
      <w:pPr>
        <w:jc w:val="center"/>
        <w:rPr>
          <w:rFonts w:ascii="Arial Black" w:hAnsi="Arial Black" w:cs="Calibri"/>
          <w:b/>
          <w:color w:val="002060"/>
        </w:rPr>
      </w:pPr>
      <w:r w:rsidRPr="00473FA9">
        <w:rPr>
          <w:rFonts w:ascii="Arial Black" w:hAnsi="Arial Black" w:cs="Calibri"/>
          <w:b/>
          <w:color w:val="002060"/>
        </w:rPr>
        <w:t>AMS P</w:t>
      </w:r>
      <w:r w:rsidR="00060097">
        <w:rPr>
          <w:rFonts w:ascii="Arial Black" w:hAnsi="Arial Black" w:cs="Calibri"/>
          <w:b/>
          <w:color w:val="002060"/>
        </w:rPr>
        <w:t xml:space="preserve">ROCUREMENT-RELATED THRESHOLDS </w:t>
      </w:r>
    </w:p>
    <w:p w14:paraId="583DFCDF" w14:textId="77777777" w:rsidR="00EA244A" w:rsidRPr="00473FA9" w:rsidRDefault="00060097" w:rsidP="00EA244A">
      <w:pPr>
        <w:jc w:val="center"/>
        <w:rPr>
          <w:rFonts w:ascii="Arial Black" w:hAnsi="Arial Black" w:cs="Calibri"/>
          <w:b/>
          <w:color w:val="002060"/>
        </w:rPr>
      </w:pPr>
      <w:r>
        <w:rPr>
          <w:rFonts w:ascii="Arial Black" w:hAnsi="Arial Black" w:cs="Calibri"/>
          <w:b/>
          <w:color w:val="002060"/>
        </w:rPr>
        <w:t>AND REVIEW REQUIREMENTS</w:t>
      </w:r>
    </w:p>
    <w:p w14:paraId="5D1AEAA0" w14:textId="77777777" w:rsidR="00EA244A" w:rsidRPr="00473FA9" w:rsidRDefault="00EA244A" w:rsidP="00EA244A">
      <w:pPr>
        <w:rPr>
          <w:rFonts w:ascii="Calibri" w:hAnsi="Calibri" w:cs="Calibri"/>
          <w:sz w:val="14"/>
          <w:szCs w:val="22"/>
        </w:rPr>
      </w:pPr>
    </w:p>
    <w:p w14:paraId="6CA7E060" w14:textId="77777777" w:rsidR="00EA244A" w:rsidRPr="00473FA9" w:rsidRDefault="00EA244A" w:rsidP="00EA244A">
      <w:pPr>
        <w:rPr>
          <w:rFonts w:ascii="Arial" w:hAnsi="Arial" w:cs="Arial"/>
          <w:sz w:val="18"/>
          <w:szCs w:val="18"/>
        </w:rPr>
      </w:pPr>
      <w:r w:rsidRPr="00473FA9">
        <w:rPr>
          <w:rFonts w:ascii="Arial" w:hAnsi="Arial" w:cs="Arial"/>
          <w:sz w:val="18"/>
          <w:szCs w:val="18"/>
        </w:rPr>
        <w:t>This is a general summary only; refer to AMS procurement policy and guidance for exact requirements.</w:t>
      </w:r>
    </w:p>
    <w:p w14:paraId="7F57C46C" w14:textId="77777777" w:rsidR="00EA244A" w:rsidRPr="00473FA9" w:rsidRDefault="00EA244A" w:rsidP="00EA244A">
      <w:pPr>
        <w:rPr>
          <w:rFonts w:ascii="Calibri" w:hAnsi="Calibri" w:cs="Calibri"/>
          <w:b/>
          <w:sz w:val="12"/>
          <w:szCs w:val="20"/>
        </w:rPr>
      </w:pPr>
    </w:p>
    <w:tbl>
      <w:tblPr>
        <w:tblW w:w="4944" w:type="pct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934"/>
        <w:gridCol w:w="7311"/>
      </w:tblGrid>
      <w:tr w:rsidR="004A10AB" w:rsidRPr="00473FA9" w14:paraId="466E9867" w14:textId="77777777" w:rsidTr="00473FA9">
        <w:trPr>
          <w:trHeight w:val="467"/>
          <w:tblHeader/>
        </w:trPr>
        <w:tc>
          <w:tcPr>
            <w:tcW w:w="1046" w:type="pct"/>
            <w:shd w:val="clear" w:color="auto" w:fill="002060"/>
            <w:vAlign w:val="center"/>
          </w:tcPr>
          <w:p w14:paraId="651765AF" w14:textId="77777777" w:rsidR="004A10AB" w:rsidRPr="00473FA9" w:rsidRDefault="004A10AB" w:rsidP="00473FA9">
            <w:pPr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473FA9">
              <w:rPr>
                <w:rFonts w:ascii="Arial Black" w:hAnsi="Arial Black" w:cs="Calibri"/>
                <w:b/>
                <w:sz w:val="20"/>
                <w:szCs w:val="20"/>
              </w:rPr>
              <w:t>Dollar Amount</w:t>
            </w:r>
          </w:p>
        </w:tc>
        <w:tc>
          <w:tcPr>
            <w:tcW w:w="3954" w:type="pct"/>
            <w:shd w:val="clear" w:color="auto" w:fill="002060"/>
            <w:vAlign w:val="center"/>
          </w:tcPr>
          <w:p w14:paraId="4DA4CD8E" w14:textId="77777777" w:rsidR="004A10AB" w:rsidRPr="00473FA9" w:rsidRDefault="004A10AB" w:rsidP="00473FA9">
            <w:pPr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473FA9">
              <w:rPr>
                <w:rFonts w:ascii="Arial Black" w:hAnsi="Arial Black" w:cs="Calibri"/>
                <w:b/>
                <w:sz w:val="20"/>
                <w:szCs w:val="20"/>
              </w:rPr>
              <w:t>Requirement / Review and Approval</w:t>
            </w:r>
          </w:p>
        </w:tc>
      </w:tr>
      <w:tr w:rsidR="003A7139" w:rsidRPr="005D7626" w14:paraId="29C5F242" w14:textId="77777777" w:rsidTr="00473FA9">
        <w:tc>
          <w:tcPr>
            <w:tcW w:w="1046" w:type="pct"/>
            <w:shd w:val="clear" w:color="auto" w:fill="F2F2F2"/>
          </w:tcPr>
          <w:p w14:paraId="1BD97CC4" w14:textId="77777777" w:rsidR="003A7139" w:rsidRPr="00473FA9" w:rsidRDefault="003A7139" w:rsidP="005A2A98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$10K</w:t>
            </w:r>
          </w:p>
        </w:tc>
        <w:tc>
          <w:tcPr>
            <w:tcW w:w="3954" w:type="pct"/>
            <w:shd w:val="clear" w:color="auto" w:fill="F2F2F2"/>
          </w:tcPr>
          <w:p w14:paraId="01941A69" w14:textId="77777777" w:rsidR="003A7139" w:rsidRPr="00473FA9" w:rsidRDefault="003A7139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</w:p>
        </w:tc>
      </w:tr>
      <w:tr w:rsidR="003A7139" w:rsidRPr="005D7626" w14:paraId="0742A4DF" w14:textId="77777777" w:rsidTr="00473FA9">
        <w:tc>
          <w:tcPr>
            <w:tcW w:w="1046" w:type="pct"/>
            <w:shd w:val="clear" w:color="auto" w:fill="F2F2F2"/>
          </w:tcPr>
          <w:p w14:paraId="29EB85BA" w14:textId="05A4FD71" w:rsidR="003A7139" w:rsidRPr="00473FA9" w:rsidRDefault="006B5479" w:rsidP="00844DC4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</w:p>
        </w:tc>
        <w:tc>
          <w:tcPr>
            <w:tcW w:w="3954" w:type="pct"/>
            <w:shd w:val="clear" w:color="auto" w:fill="F2F2F2"/>
          </w:tcPr>
          <w:p w14:paraId="4B75F4F1" w14:textId="77777777" w:rsidR="003A7139" w:rsidRPr="00473FA9" w:rsidRDefault="003A7139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Purchase card single purchase limit for un-warranted cardholders (Chief of the Contracting Office may grant higher limits for emergency operations purchases on a case-by-case basis</w:t>
            </w:r>
            <w:r w:rsidR="0059398D" w:rsidRPr="00473FA9">
              <w:rPr>
                <w:rFonts w:ascii="Arial" w:hAnsi="Arial" w:cs="Arial"/>
                <w:sz w:val="18"/>
                <w:szCs w:val="18"/>
              </w:rPr>
              <w:t xml:space="preserve"> up to 100K)</w:t>
            </w:r>
            <w:r w:rsidRPr="00473F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A10AB" w:rsidRPr="005D7626" w14:paraId="715ED141" w14:textId="77777777" w:rsidTr="00473FA9">
        <w:tc>
          <w:tcPr>
            <w:tcW w:w="1046" w:type="pct"/>
            <w:shd w:val="clear" w:color="auto" w:fill="F2F2F2"/>
          </w:tcPr>
          <w:p w14:paraId="22BBBC9B" w14:textId="259B9A97" w:rsidR="004A10AB" w:rsidRPr="00473FA9" w:rsidRDefault="00D320AD" w:rsidP="005A2A98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</w:p>
        </w:tc>
        <w:tc>
          <w:tcPr>
            <w:tcW w:w="3954" w:type="pct"/>
            <w:shd w:val="clear" w:color="auto" w:fill="F2F2F2"/>
          </w:tcPr>
          <w:p w14:paraId="173F45A0" w14:textId="77777777" w:rsidR="004A10AB" w:rsidRPr="00473FA9" w:rsidRDefault="004A10A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Davis-Bacon Act applies</w:t>
            </w:r>
            <w:r w:rsidR="003A7139" w:rsidRPr="00473FA9">
              <w:rPr>
                <w:rFonts w:ascii="Arial" w:hAnsi="Arial" w:cs="Arial"/>
                <w:sz w:val="18"/>
                <w:szCs w:val="18"/>
              </w:rPr>
              <w:t xml:space="preserve"> to construction contracts</w:t>
            </w:r>
            <w:r w:rsidRPr="00473F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A10AB" w:rsidRPr="005D7626" w14:paraId="181A26F8" w14:textId="77777777" w:rsidTr="00473FA9">
        <w:tc>
          <w:tcPr>
            <w:tcW w:w="1046" w:type="pct"/>
            <w:shd w:val="clear" w:color="auto" w:fill="F2F2F2"/>
          </w:tcPr>
          <w:p w14:paraId="5D8EAB6A" w14:textId="5D8651B8" w:rsidR="004A10AB" w:rsidRPr="00473FA9" w:rsidRDefault="00D320AD" w:rsidP="005A2A98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</w:p>
        </w:tc>
        <w:tc>
          <w:tcPr>
            <w:tcW w:w="3954" w:type="pct"/>
            <w:shd w:val="clear" w:color="auto" w:fill="F2F2F2"/>
          </w:tcPr>
          <w:p w14:paraId="4552E4A3" w14:textId="77777777" w:rsidR="004A10AB" w:rsidRPr="00473FA9" w:rsidRDefault="004A10A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Service Contract Act applies</w:t>
            </w:r>
            <w:r w:rsidR="003A7139" w:rsidRPr="00473FA9">
              <w:rPr>
                <w:rFonts w:ascii="Arial" w:hAnsi="Arial" w:cs="Arial"/>
                <w:sz w:val="18"/>
                <w:szCs w:val="18"/>
              </w:rPr>
              <w:t xml:space="preserve"> to contracts to </w:t>
            </w:r>
            <w:r w:rsidR="008A3671" w:rsidRPr="00473FA9">
              <w:rPr>
                <w:rFonts w:ascii="Arial" w:hAnsi="Arial" w:cs="Arial"/>
                <w:sz w:val="18"/>
                <w:szCs w:val="18"/>
              </w:rPr>
              <w:t>furnish</w:t>
            </w:r>
            <w:r w:rsidR="003A7139" w:rsidRPr="00473FA9">
              <w:rPr>
                <w:rFonts w:ascii="Arial" w:hAnsi="Arial" w:cs="Arial"/>
                <w:sz w:val="18"/>
                <w:szCs w:val="18"/>
              </w:rPr>
              <w:t xml:space="preserve"> services in the U.S. unless an exemption applies</w:t>
            </w:r>
            <w:r w:rsidR="000F7E4C" w:rsidRPr="00473F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340DC" w:rsidRPr="005D7626" w14:paraId="34C2831D" w14:textId="77777777" w:rsidTr="00473FA9">
        <w:tc>
          <w:tcPr>
            <w:tcW w:w="1046" w:type="pct"/>
            <w:shd w:val="clear" w:color="auto" w:fill="F2F2F2"/>
          </w:tcPr>
          <w:p w14:paraId="3E55C532" w14:textId="04F9E8E6" w:rsidR="00A340DC" w:rsidRPr="00473FA9" w:rsidRDefault="00A340DC" w:rsidP="005A2A98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</w:p>
        </w:tc>
        <w:tc>
          <w:tcPr>
            <w:tcW w:w="3954" w:type="pct"/>
            <w:shd w:val="clear" w:color="auto" w:fill="F2F2F2"/>
          </w:tcPr>
          <w:p w14:paraId="7B7AE57A" w14:textId="77777777" w:rsidR="00A340DC" w:rsidRPr="00473FA9" w:rsidRDefault="00A340DC" w:rsidP="00A340D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Documented award decision required</w:t>
            </w:r>
          </w:p>
        </w:tc>
      </w:tr>
      <w:tr w:rsidR="004A10AB" w:rsidRPr="005D7626" w14:paraId="49766E88" w14:textId="77777777" w:rsidTr="00473FA9">
        <w:tc>
          <w:tcPr>
            <w:tcW w:w="1046" w:type="pct"/>
            <w:shd w:val="clear" w:color="auto" w:fill="F2F2F2"/>
          </w:tcPr>
          <w:p w14:paraId="252CCAE0" w14:textId="026865FF" w:rsidR="004A10AB" w:rsidRPr="00473FA9" w:rsidRDefault="00D66433" w:rsidP="00D66433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 w:rsidRPr="00473FA9">
              <w:rPr>
                <w:rFonts w:ascii="Arial" w:hAnsi="Arial" w:cs="Arial"/>
                <w:sz w:val="18"/>
                <w:szCs w:val="18"/>
              </w:rPr>
              <w:t>Micro-Purchase Threshold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426FB6F6" w14:textId="77777777" w:rsidR="00C81411" w:rsidRPr="00473FA9" w:rsidRDefault="004A10AB" w:rsidP="00C8141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(i) Single source justification documentation and legal review required.  Justification not required for </w:t>
            </w:r>
            <w:r w:rsidR="001B5C0C" w:rsidRPr="00473FA9">
              <w:rPr>
                <w:rFonts w:ascii="Arial" w:hAnsi="Arial" w:cs="Arial"/>
                <w:sz w:val="18"/>
                <w:szCs w:val="18"/>
              </w:rPr>
              <w:t xml:space="preserve">non-competitive set-asides to a </w:t>
            </w:r>
            <w:r w:rsidRPr="00473FA9">
              <w:rPr>
                <w:rFonts w:ascii="Arial" w:hAnsi="Arial" w:cs="Arial"/>
                <w:sz w:val="18"/>
                <w:szCs w:val="18"/>
              </w:rPr>
              <w:t>socially and economically disadvantaged business (SEDB) 8(a)</w:t>
            </w:r>
            <w:r w:rsidR="001B5C0C" w:rsidRPr="00473FA9">
              <w:rPr>
                <w:rFonts w:ascii="Arial" w:hAnsi="Arial" w:cs="Arial"/>
                <w:sz w:val="18"/>
                <w:szCs w:val="18"/>
              </w:rPr>
              <w:t>,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service-disabled veteran owned small business (SDVOSB)</w:t>
            </w:r>
            <w:r w:rsidR="001B5C0C" w:rsidRPr="00473FA9">
              <w:rPr>
                <w:rFonts w:ascii="Arial" w:hAnsi="Arial" w:cs="Arial"/>
                <w:sz w:val="18"/>
                <w:szCs w:val="18"/>
              </w:rPr>
              <w:t xml:space="preserve">, women-owned small business (WOSB), </w:t>
            </w:r>
            <w:r w:rsidR="00D64A90" w:rsidRPr="00473FA9">
              <w:rPr>
                <w:rFonts w:ascii="Arial" w:hAnsi="Arial" w:cs="Arial"/>
                <w:sz w:val="18"/>
                <w:szCs w:val="18"/>
              </w:rPr>
              <w:t xml:space="preserve">economically disadvantaged women-owned small business (EDWOSB), </w:t>
            </w:r>
            <w:r w:rsidR="001B5C0C" w:rsidRPr="00473FA9">
              <w:rPr>
                <w:rFonts w:ascii="Arial" w:hAnsi="Arial" w:cs="Arial"/>
                <w:sz w:val="18"/>
                <w:szCs w:val="18"/>
              </w:rPr>
              <w:t>or historically underutilized business zone (HUBZone) small business.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81411" w:rsidRPr="00473FA9">
              <w:rPr>
                <w:rFonts w:ascii="Arial" w:hAnsi="Arial" w:cs="Arial"/>
                <w:sz w:val="18"/>
                <w:szCs w:val="18"/>
              </w:rPr>
              <w:t>A single-source justification is also not required for procurements conducted in accordance with the Javits-Wagner-</w:t>
            </w:r>
            <w:proofErr w:type="spellStart"/>
            <w:r w:rsidR="00C81411" w:rsidRPr="00473FA9">
              <w:rPr>
                <w:rFonts w:ascii="Arial" w:hAnsi="Arial" w:cs="Arial"/>
                <w:sz w:val="18"/>
                <w:szCs w:val="18"/>
              </w:rPr>
              <w:t>O’Day</w:t>
            </w:r>
            <w:proofErr w:type="spellEnd"/>
            <w:r w:rsidR="00C81411" w:rsidRPr="00473FA9">
              <w:rPr>
                <w:rFonts w:ascii="Arial" w:hAnsi="Arial" w:cs="Arial"/>
                <w:sz w:val="18"/>
                <w:szCs w:val="18"/>
              </w:rPr>
              <w:t xml:space="preserve"> Act (Ability/One Program) or the Randolph-Sheppard Act.  A single source justification is not required for a site-specific requirement for land or antenna/equipment space, where the location of NAS equipment is (1) necessary to the functionality of the NAS, and (2) of continued criticality to the NAS or mission of the FAA.</w:t>
            </w:r>
          </w:p>
          <w:p w14:paraId="52CACF10" w14:textId="77777777" w:rsidR="004A10AB" w:rsidRPr="00473FA9" w:rsidRDefault="004A10A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(ii</w:t>
            </w:r>
            <w:r w:rsidR="00C81411" w:rsidRPr="00473FA9">
              <w:rPr>
                <w:rFonts w:ascii="Arial" w:hAnsi="Arial" w:cs="Arial"/>
                <w:sz w:val="18"/>
                <w:szCs w:val="18"/>
              </w:rPr>
              <w:t>i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) Public announcement of planned procurements for products available from Federal Prison Industries (UNICOR). </w:t>
            </w:r>
          </w:p>
        </w:tc>
      </w:tr>
      <w:tr w:rsidR="006B5479" w:rsidRPr="005D7626" w14:paraId="196E4480" w14:textId="77777777" w:rsidTr="00473FA9">
        <w:tc>
          <w:tcPr>
            <w:tcW w:w="1046" w:type="pct"/>
            <w:shd w:val="clear" w:color="auto" w:fill="F2F2F2"/>
          </w:tcPr>
          <w:p w14:paraId="416FEE34" w14:textId="142F1C12" w:rsidR="006B5479" w:rsidRPr="00473FA9" w:rsidRDefault="006B5479" w:rsidP="006B5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$250K</w:t>
            </w:r>
          </w:p>
        </w:tc>
        <w:tc>
          <w:tcPr>
            <w:tcW w:w="3954" w:type="pct"/>
            <w:shd w:val="clear" w:color="auto" w:fill="F2F2F2"/>
          </w:tcPr>
          <w:p w14:paraId="7E1226FA" w14:textId="3D49BABC" w:rsidR="006B5479" w:rsidRPr="00473FA9" w:rsidRDefault="006B5479" w:rsidP="00FB6051">
            <w:pPr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AMS risk threshold </w:t>
            </w:r>
          </w:p>
        </w:tc>
      </w:tr>
      <w:tr w:rsidR="004A10AB" w:rsidRPr="005D7626" w14:paraId="6D4FB5B5" w14:textId="77777777" w:rsidTr="00473FA9">
        <w:tc>
          <w:tcPr>
            <w:tcW w:w="1046" w:type="pct"/>
            <w:shd w:val="clear" w:color="auto" w:fill="F2F2F2"/>
          </w:tcPr>
          <w:p w14:paraId="5F7B2973" w14:textId="45028652" w:rsidR="004A10AB" w:rsidRPr="00473FA9" w:rsidRDefault="00D320A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Greater than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$10K </w:t>
            </w:r>
            <w:r w:rsidR="001B2D9D" w:rsidRPr="00473FA9">
              <w:rPr>
                <w:rFonts w:ascii="Arial" w:hAnsi="Arial" w:cs="Arial"/>
                <w:sz w:val="18"/>
                <w:szCs w:val="18"/>
              </w:rPr>
              <w:t xml:space="preserve">and less than or equal to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</w:p>
        </w:tc>
        <w:tc>
          <w:tcPr>
            <w:tcW w:w="3954" w:type="pct"/>
            <w:shd w:val="clear" w:color="auto" w:fill="F2F2F2"/>
          </w:tcPr>
          <w:p w14:paraId="12F21D03" w14:textId="77777777" w:rsidR="004A10AB" w:rsidRPr="00473FA9" w:rsidRDefault="00490306" w:rsidP="00FB60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With the exception of </w:t>
            </w:r>
            <w:r w:rsidR="00B701DA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real property procurements or </w:t>
            </w:r>
            <w:r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those procurements conducted using a purchase card, procurements are automatically reserved for competition among SEDB (8(a)) </w:t>
            </w:r>
            <w:r w:rsidR="00904293" w:rsidRPr="00473FA9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D51FB7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 SDVOSB</w:t>
            </w:r>
            <w:r w:rsidR="00F04A9C" w:rsidRPr="00473FA9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904293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 WOSB, </w:t>
            </w:r>
            <w:r w:rsidR="00CE41EB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EDWOSB, </w:t>
            </w:r>
            <w:r w:rsidR="00904293" w:rsidRPr="00473FA9">
              <w:rPr>
                <w:rFonts w:ascii="Arial" w:hAnsi="Arial" w:cs="Arial"/>
                <w:color w:val="000000"/>
                <w:sz w:val="18"/>
                <w:szCs w:val="18"/>
              </w:rPr>
              <w:t>HUBZone</w:t>
            </w:r>
            <w:r w:rsidR="00D51FB7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7869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small business </w:t>
            </w:r>
            <w:r w:rsidRPr="00473FA9">
              <w:rPr>
                <w:rFonts w:ascii="Arial" w:hAnsi="Arial" w:cs="Arial"/>
                <w:color w:val="000000"/>
                <w:sz w:val="18"/>
                <w:szCs w:val="18"/>
              </w:rPr>
              <w:t>vendors</w:t>
            </w:r>
            <w:r w:rsidR="00580956">
              <w:rPr>
                <w:rFonts w:ascii="Arial" w:hAnsi="Arial" w:cs="Arial"/>
                <w:color w:val="000000"/>
                <w:sz w:val="18"/>
                <w:szCs w:val="18"/>
              </w:rPr>
              <w:t xml:space="preserve"> or </w:t>
            </w:r>
            <w:r w:rsidR="00DD5AFA">
              <w:rPr>
                <w:rFonts w:ascii="Arial" w:hAnsi="Arial" w:cs="Arial"/>
                <w:color w:val="000000"/>
                <w:sz w:val="18"/>
                <w:szCs w:val="18"/>
              </w:rPr>
              <w:t>Small Disadvantaged Business (</w:t>
            </w:r>
            <w:r w:rsidR="00580956">
              <w:rPr>
                <w:rFonts w:ascii="Arial" w:hAnsi="Arial" w:cs="Arial"/>
                <w:color w:val="000000"/>
                <w:sz w:val="18"/>
                <w:szCs w:val="18"/>
              </w:rPr>
              <w:t>SDB</w:t>
            </w:r>
            <w:r w:rsidR="00DD5AFA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473FA9">
              <w:rPr>
                <w:rFonts w:ascii="Arial" w:hAnsi="Arial" w:cs="Arial"/>
                <w:color w:val="000000"/>
                <w:sz w:val="18"/>
                <w:szCs w:val="18"/>
              </w:rPr>
              <w:t>, unless the purchaser, with review of the cognizant Small and Small Disadvantaged Utilization Specialist, determines there is not a reasonable expectation of obtaining quotes or offers from responsible SEDB 8(a)</w:t>
            </w:r>
            <w:r w:rsidR="00CE41EB" w:rsidRPr="00473FA9">
              <w:rPr>
                <w:rFonts w:ascii="Arial" w:hAnsi="Arial" w:cs="Arial"/>
                <w:color w:val="000000"/>
                <w:sz w:val="18"/>
                <w:szCs w:val="18"/>
              </w:rPr>
              <w:t>, SDVOSB, WOSB, EDWOSB, HUBZone small business vendors</w:t>
            </w:r>
            <w:r w:rsidR="00580956">
              <w:rPr>
                <w:rFonts w:ascii="Arial" w:hAnsi="Arial" w:cs="Arial"/>
                <w:color w:val="000000"/>
                <w:sz w:val="18"/>
                <w:szCs w:val="18"/>
              </w:rPr>
              <w:t>, or SDB</w:t>
            </w:r>
            <w:r w:rsidR="006D7E80" w:rsidRPr="00473FA9">
              <w:rPr>
                <w:rFonts w:ascii="Arial" w:hAnsi="Arial" w:cs="Arial"/>
                <w:color w:val="000000"/>
                <w:sz w:val="18"/>
                <w:szCs w:val="18"/>
              </w:rPr>
              <w:t xml:space="preserve"> that are competitive in terms of market prices, quality, and delivery</w:t>
            </w:r>
            <w:r w:rsidRPr="00473FA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A10AB" w:rsidRPr="005D7626" w14:paraId="48D9A20F" w14:textId="77777777" w:rsidTr="00473FA9">
        <w:tc>
          <w:tcPr>
            <w:tcW w:w="1046" w:type="pct"/>
            <w:shd w:val="clear" w:color="auto" w:fill="F2F2F2"/>
          </w:tcPr>
          <w:p w14:paraId="25FAD4BF" w14:textId="77777777" w:rsidR="004A10AB" w:rsidRPr="00473FA9" w:rsidRDefault="001B2D9D" w:rsidP="001B2D9D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$15K</w:t>
            </w:r>
          </w:p>
        </w:tc>
        <w:tc>
          <w:tcPr>
            <w:tcW w:w="3954" w:type="pct"/>
            <w:shd w:val="clear" w:color="auto" w:fill="F2F2F2"/>
          </w:tcPr>
          <w:p w14:paraId="22C05DC2" w14:textId="77777777" w:rsidR="004A10AB" w:rsidRPr="00473FA9" w:rsidRDefault="004E320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Subject to the exemptions, the 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Walsh-Healey Act applies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to all contracts for materials, supplies, articles, and equipment for the manufacture or furnishing of supplies with a regular dealer or manufacturer of those supplies and contracts</w:t>
            </w:r>
            <w:r w:rsidR="00AB3A6E" w:rsidRPr="00473F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A10AB" w:rsidRPr="00473FA9" w14:paraId="463B8A12" w14:textId="77777777" w:rsidTr="00473FA9">
        <w:tc>
          <w:tcPr>
            <w:tcW w:w="1046" w:type="pct"/>
            <w:shd w:val="clear" w:color="auto" w:fill="F2F2F2"/>
          </w:tcPr>
          <w:p w14:paraId="602AF755" w14:textId="206E5604" w:rsidR="004A10AB" w:rsidRPr="00473FA9" w:rsidRDefault="001B2D9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Greater than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29C">
              <w:rPr>
                <w:rFonts w:ascii="Arial" w:hAnsi="Arial" w:cs="Arial"/>
                <w:sz w:val="18"/>
                <w:szCs w:val="18"/>
              </w:rPr>
              <w:t>$500K</w:t>
            </w:r>
          </w:p>
        </w:tc>
        <w:tc>
          <w:tcPr>
            <w:tcW w:w="3954" w:type="pct"/>
            <w:shd w:val="clear" w:color="auto" w:fill="F2F2F2"/>
          </w:tcPr>
          <w:p w14:paraId="6B5F6892" w14:textId="77777777" w:rsidR="004A10AB" w:rsidRPr="00473FA9" w:rsidRDefault="004A10AB" w:rsidP="00B1449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Legal review required.</w:t>
            </w:r>
          </w:p>
        </w:tc>
      </w:tr>
      <w:tr w:rsidR="001B2D9D" w:rsidRPr="00473FA9" w14:paraId="49EE0F80" w14:textId="77777777" w:rsidTr="00473FA9">
        <w:tc>
          <w:tcPr>
            <w:tcW w:w="1046" w:type="pct"/>
            <w:shd w:val="clear" w:color="auto" w:fill="F2F2F2"/>
          </w:tcPr>
          <w:p w14:paraId="752CB711" w14:textId="350E5767" w:rsidR="001B2D9D" w:rsidRPr="00473FA9" w:rsidRDefault="001B2D9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</w:p>
        </w:tc>
        <w:tc>
          <w:tcPr>
            <w:tcW w:w="3954" w:type="pct"/>
            <w:shd w:val="clear" w:color="auto" w:fill="F2F2F2"/>
          </w:tcPr>
          <w:p w14:paraId="4F7801E8" w14:textId="77777777" w:rsidR="001B2D9D" w:rsidRPr="00473FA9" w:rsidDel="001B2D9D" w:rsidRDefault="001B2D9D" w:rsidP="00BE7AD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Approval </w:t>
            </w:r>
            <w:r w:rsidR="00BE7AD0" w:rsidRPr="00473FA9">
              <w:rPr>
                <w:rFonts w:ascii="Arial" w:hAnsi="Arial" w:cs="Arial"/>
                <w:sz w:val="18"/>
                <w:szCs w:val="18"/>
              </w:rPr>
              <w:t>to purchase or lease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duplicators or electronic copie</w:t>
            </w:r>
            <w:r w:rsidR="00BE7AD0" w:rsidRPr="00473FA9">
              <w:rPr>
                <w:rFonts w:ascii="Arial" w:hAnsi="Arial" w:cs="Arial"/>
                <w:sz w:val="18"/>
                <w:szCs w:val="18"/>
              </w:rPr>
              <w:t>rs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D0" w:rsidRPr="00473FA9">
              <w:rPr>
                <w:rFonts w:ascii="Arial" w:hAnsi="Arial" w:cs="Arial"/>
                <w:sz w:val="18"/>
                <w:szCs w:val="18"/>
              </w:rPr>
              <w:t>is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required</w:t>
            </w:r>
          </w:p>
        </w:tc>
      </w:tr>
      <w:tr w:rsidR="004A10AB" w:rsidRPr="00473FA9" w14:paraId="23A5925C" w14:textId="77777777" w:rsidTr="00473FA9">
        <w:tc>
          <w:tcPr>
            <w:tcW w:w="1046" w:type="pct"/>
            <w:shd w:val="clear" w:color="auto" w:fill="F2F2F2"/>
          </w:tcPr>
          <w:p w14:paraId="4CD582C2" w14:textId="023BD2BA" w:rsidR="004A10AB" w:rsidRPr="00473FA9" w:rsidRDefault="001B2D9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or equal to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36061D7A" w14:textId="77777777" w:rsidR="00B1449F" w:rsidRPr="00473FA9" w:rsidRDefault="004A10AB" w:rsidP="00D320A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Non-Disclosure Agreement (NDA)</w:t>
            </w:r>
            <w:r w:rsidR="00D320AD" w:rsidRPr="00473FA9">
              <w:rPr>
                <w:rFonts w:ascii="Arial" w:hAnsi="Arial" w:cs="Arial"/>
                <w:sz w:val="18"/>
                <w:szCs w:val="18"/>
              </w:rPr>
              <w:t xml:space="preserve"> applies</w:t>
            </w:r>
          </w:p>
        </w:tc>
      </w:tr>
      <w:tr w:rsidR="004A10AB" w:rsidRPr="00473FA9" w14:paraId="3140E849" w14:textId="77777777" w:rsidTr="00473FA9">
        <w:tc>
          <w:tcPr>
            <w:tcW w:w="1046" w:type="pct"/>
            <w:shd w:val="clear" w:color="auto" w:fill="F2F2F2"/>
          </w:tcPr>
          <w:p w14:paraId="21ECA060" w14:textId="4C0FE7E9" w:rsidR="004A10AB" w:rsidRPr="00473FA9" w:rsidRDefault="004A5F8E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or equal to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0DD14B42" w14:textId="77777777" w:rsidR="004A10AB" w:rsidRPr="00473FA9" w:rsidRDefault="003325C7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Agreement Regarding 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Conflict of Interest (COI) applies</w:t>
            </w:r>
          </w:p>
        </w:tc>
      </w:tr>
      <w:tr w:rsidR="004A10AB" w:rsidRPr="00473FA9" w14:paraId="368A9C20" w14:textId="77777777" w:rsidTr="00473FA9">
        <w:tc>
          <w:tcPr>
            <w:tcW w:w="1046" w:type="pct"/>
            <w:shd w:val="clear" w:color="auto" w:fill="F2F2F2"/>
          </w:tcPr>
          <w:p w14:paraId="221C1309" w14:textId="77777777" w:rsidR="004A10AB" w:rsidRPr="00473FA9" w:rsidDel="004E5728" w:rsidRDefault="004A5F8E" w:rsidP="004A5F8E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$150K</w:t>
            </w:r>
          </w:p>
        </w:tc>
        <w:tc>
          <w:tcPr>
            <w:tcW w:w="3954" w:type="pct"/>
            <w:shd w:val="clear" w:color="auto" w:fill="F2F2F2"/>
          </w:tcPr>
          <w:p w14:paraId="2A1303EE" w14:textId="77777777" w:rsidR="004A10AB" w:rsidRPr="00473FA9" w:rsidRDefault="004A10AB" w:rsidP="004A5F8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Performance and payment bonds for construction </w:t>
            </w:r>
            <w:r w:rsidR="000F7E4C" w:rsidRPr="00473FA9">
              <w:rPr>
                <w:rFonts w:ascii="Arial" w:hAnsi="Arial" w:cs="Arial"/>
                <w:sz w:val="18"/>
                <w:szCs w:val="18"/>
              </w:rPr>
              <w:t>required (</w:t>
            </w:r>
            <w:r w:rsidR="004A5F8E" w:rsidRPr="00473FA9">
              <w:rPr>
                <w:rFonts w:ascii="Arial" w:hAnsi="Arial" w:cs="Arial"/>
                <w:sz w:val="18"/>
                <w:szCs w:val="18"/>
              </w:rPr>
              <w:t>Miller Act)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</w:tr>
      <w:tr w:rsidR="009742C6" w:rsidRPr="00473FA9" w14:paraId="70F4DE55" w14:textId="77777777" w:rsidTr="00473FA9">
        <w:tc>
          <w:tcPr>
            <w:tcW w:w="1046" w:type="pct"/>
            <w:shd w:val="clear" w:color="auto" w:fill="F2F2F2"/>
          </w:tcPr>
          <w:p w14:paraId="7E944938" w14:textId="1940B449" w:rsidR="009742C6" w:rsidRPr="00473FA9" w:rsidRDefault="00887C8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lastRenderedPageBreak/>
              <w:t xml:space="preserve">Greater than or equal to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</w:p>
        </w:tc>
        <w:tc>
          <w:tcPr>
            <w:tcW w:w="3954" w:type="pct"/>
            <w:shd w:val="clear" w:color="auto" w:fill="F2F2F2"/>
          </w:tcPr>
          <w:p w14:paraId="19C9E221" w14:textId="77777777" w:rsidR="009742C6" w:rsidRPr="00473FA9" w:rsidRDefault="009742C6" w:rsidP="00DA1557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Independent Government Cost Estimate (IGCE) required.  May be required at the Contract</w:t>
            </w:r>
            <w:r w:rsidR="00655877" w:rsidRPr="00473FA9">
              <w:rPr>
                <w:rFonts w:ascii="Arial" w:hAnsi="Arial" w:cs="Arial"/>
                <w:sz w:val="18"/>
                <w:szCs w:val="18"/>
              </w:rPr>
              <w:t>i</w:t>
            </w:r>
            <w:r w:rsidRPr="00473FA9">
              <w:rPr>
                <w:rFonts w:ascii="Arial" w:hAnsi="Arial" w:cs="Arial"/>
                <w:sz w:val="18"/>
                <w:szCs w:val="18"/>
              </w:rPr>
              <w:t>ng Officer’s discretion for lower amounts.</w:t>
            </w:r>
          </w:p>
        </w:tc>
      </w:tr>
      <w:tr w:rsidR="00C12457" w:rsidRPr="00473FA9" w14:paraId="7275C447" w14:textId="77777777" w:rsidTr="00473FA9">
        <w:tc>
          <w:tcPr>
            <w:tcW w:w="1046" w:type="pct"/>
            <w:shd w:val="clear" w:color="auto" w:fill="F2F2F2"/>
          </w:tcPr>
          <w:p w14:paraId="7D02549E" w14:textId="6242926E" w:rsidR="00C12457" w:rsidRPr="00473FA9" w:rsidRDefault="00887C8D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3570D1">
              <w:rPr>
                <w:rFonts w:ascii="Arial" w:hAnsi="Arial" w:cs="Arial"/>
                <w:sz w:val="18"/>
                <w:szCs w:val="18"/>
              </w:rPr>
              <w:t>AMS risk threshold</w:t>
            </w:r>
          </w:p>
        </w:tc>
        <w:tc>
          <w:tcPr>
            <w:tcW w:w="3954" w:type="pct"/>
            <w:shd w:val="clear" w:color="auto" w:fill="F2F2F2"/>
          </w:tcPr>
          <w:p w14:paraId="5D752769" w14:textId="77777777" w:rsidR="00C12457" w:rsidRPr="00473FA9" w:rsidRDefault="00627154" w:rsidP="0045565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Small Business </w:t>
            </w:r>
            <w:r w:rsidR="00455658" w:rsidRPr="00473FA9">
              <w:rPr>
                <w:rFonts w:ascii="Arial" w:hAnsi="Arial" w:cs="Arial"/>
                <w:sz w:val="18"/>
                <w:szCs w:val="18"/>
              </w:rPr>
              <w:t>Program</w:t>
            </w:r>
            <w:r w:rsidR="00B701DA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3FA9">
              <w:rPr>
                <w:rFonts w:ascii="Arial" w:hAnsi="Arial" w:cs="Arial"/>
                <w:sz w:val="18"/>
                <w:szCs w:val="18"/>
              </w:rPr>
              <w:t>(AAP-</w:t>
            </w:r>
            <w:r w:rsidR="00455658" w:rsidRPr="00473FA9">
              <w:rPr>
                <w:rFonts w:ascii="Arial" w:hAnsi="Arial" w:cs="Arial"/>
                <w:sz w:val="18"/>
                <w:szCs w:val="18"/>
              </w:rPr>
              <w:t>20</w:t>
            </w:r>
            <w:r w:rsidRPr="00473FA9">
              <w:rPr>
                <w:rFonts w:ascii="Arial" w:hAnsi="Arial" w:cs="Arial"/>
                <w:sz w:val="18"/>
                <w:szCs w:val="18"/>
              </w:rPr>
              <w:t>)</w:t>
            </w:r>
            <w:r w:rsidR="00C12457" w:rsidRPr="00473FA9">
              <w:rPr>
                <w:rFonts w:ascii="Arial" w:hAnsi="Arial" w:cs="Arial"/>
                <w:sz w:val="18"/>
                <w:szCs w:val="18"/>
              </w:rPr>
              <w:t xml:space="preserve"> coordination </w:t>
            </w:r>
            <w:r w:rsidR="00DA1557" w:rsidRPr="00473FA9">
              <w:rPr>
                <w:rFonts w:ascii="Arial" w:hAnsi="Arial" w:cs="Arial"/>
                <w:sz w:val="18"/>
                <w:szCs w:val="18"/>
              </w:rPr>
              <w:t xml:space="preserve">required using Small Business Set-Aside Determination and Coordination Form </w:t>
            </w:r>
            <w:r w:rsidR="00B701DA" w:rsidRPr="00473FA9">
              <w:rPr>
                <w:rFonts w:ascii="Arial" w:hAnsi="Arial" w:cs="Arial"/>
                <w:sz w:val="18"/>
                <w:szCs w:val="18"/>
              </w:rPr>
              <w:t xml:space="preserve">for all procurements with the exception of real property procurements.  </w:t>
            </w:r>
          </w:p>
        </w:tc>
      </w:tr>
      <w:tr w:rsidR="00C12457" w:rsidRPr="00473FA9" w14:paraId="30CE189A" w14:textId="77777777" w:rsidTr="00473FA9">
        <w:tc>
          <w:tcPr>
            <w:tcW w:w="1046" w:type="pct"/>
            <w:shd w:val="clear" w:color="auto" w:fill="F2F2F2"/>
          </w:tcPr>
          <w:p w14:paraId="2AF7CF88" w14:textId="2EF87CCC" w:rsidR="00C12457" w:rsidRPr="00473FA9" w:rsidRDefault="0090465D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  <w:r w:rsidR="00C12457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7FE15212" w14:textId="77777777" w:rsidR="00C12457" w:rsidRPr="00473FA9" w:rsidRDefault="00C12457" w:rsidP="00B15739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Public announcement of planned procurements (exceptions apply)</w:t>
            </w:r>
          </w:p>
          <w:p w14:paraId="02166930" w14:textId="77777777" w:rsidR="00C12457" w:rsidRPr="00473FA9" w:rsidRDefault="00C12457" w:rsidP="00B15739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Public announcement of single source awards</w:t>
            </w:r>
          </w:p>
        </w:tc>
      </w:tr>
      <w:tr w:rsidR="004A10AB" w:rsidRPr="00473FA9" w14:paraId="653E62B2" w14:textId="77777777" w:rsidTr="00473FA9">
        <w:tc>
          <w:tcPr>
            <w:tcW w:w="1046" w:type="pct"/>
            <w:shd w:val="clear" w:color="auto" w:fill="F2F2F2"/>
          </w:tcPr>
          <w:p w14:paraId="6D928E55" w14:textId="0DD87B19" w:rsidR="004A10AB" w:rsidRPr="00473FA9" w:rsidRDefault="005E6EE5" w:rsidP="006B5479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525D6D7E" w14:textId="217F1D85" w:rsidR="000442BE" w:rsidRPr="00473FA9" w:rsidRDefault="004A10A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Chief Information Officer (CIO) review required for information technology-related supplies and services</w:t>
            </w:r>
            <w:r w:rsidR="005E6EE5" w:rsidRPr="00473FA9">
              <w:rPr>
                <w:rFonts w:ascii="Arial" w:hAnsi="Arial" w:cs="Arial"/>
                <w:sz w:val="18"/>
                <w:szCs w:val="18"/>
              </w:rPr>
              <w:t xml:space="preserve"> (includes contracts, order</w:t>
            </w:r>
            <w:r w:rsidR="00545C08" w:rsidRPr="00473FA9">
              <w:rPr>
                <w:rFonts w:ascii="Arial" w:hAnsi="Arial" w:cs="Arial"/>
                <w:sz w:val="18"/>
                <w:szCs w:val="18"/>
              </w:rPr>
              <w:t>s</w:t>
            </w:r>
            <w:r w:rsidR="005E6EE5" w:rsidRPr="00473FA9">
              <w:rPr>
                <w:rFonts w:ascii="Arial" w:hAnsi="Arial" w:cs="Arial"/>
                <w:sz w:val="18"/>
                <w:szCs w:val="18"/>
              </w:rPr>
              <w:t>, contract modifications, and inter/intra-agency agreements)</w:t>
            </w:r>
            <w:r w:rsidR="000442B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442BE" w:rsidRPr="00473FA9" w14:paraId="07F170CA" w14:textId="77777777" w:rsidTr="00473FA9">
        <w:tc>
          <w:tcPr>
            <w:tcW w:w="1046" w:type="pct"/>
            <w:shd w:val="clear" w:color="auto" w:fill="F2F2F2"/>
          </w:tcPr>
          <w:p w14:paraId="255D4465" w14:textId="44F73184" w:rsidR="000442BE" w:rsidRPr="00473FA9" w:rsidRDefault="000442BE" w:rsidP="006B5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6B5479">
              <w:rPr>
                <w:rFonts w:ascii="Arial" w:hAnsi="Arial" w:cs="Arial"/>
                <w:sz w:val="18"/>
                <w:szCs w:val="18"/>
              </w:rPr>
              <w:t>AMS risk threshold</w:t>
            </w:r>
          </w:p>
        </w:tc>
        <w:tc>
          <w:tcPr>
            <w:tcW w:w="3954" w:type="pct"/>
            <w:shd w:val="clear" w:color="auto" w:fill="F2F2F2"/>
          </w:tcPr>
          <w:p w14:paraId="0615A898" w14:textId="1B66F42C" w:rsidR="000442BE" w:rsidRPr="00473FA9" w:rsidRDefault="00E836EE" w:rsidP="004311B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bundling is contemplated for a task/delivery order, the FAA Acquisition Executive is required to approve such determination per AMS T3.6.1A.6d.  </w:t>
            </w:r>
          </w:p>
        </w:tc>
      </w:tr>
      <w:tr w:rsidR="00015C9F" w:rsidRPr="00473FA9" w14:paraId="2876F89E" w14:textId="77777777" w:rsidTr="00473FA9">
        <w:tc>
          <w:tcPr>
            <w:tcW w:w="1046" w:type="pct"/>
            <w:shd w:val="clear" w:color="auto" w:fill="F2F2F2"/>
          </w:tcPr>
          <w:p w14:paraId="5480B73E" w14:textId="77777777" w:rsidR="00015C9F" w:rsidRPr="00473FA9" w:rsidRDefault="00E82CB4" w:rsidP="000B5997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015C9F" w:rsidRPr="00473FA9">
              <w:rPr>
                <w:rFonts w:ascii="Arial" w:hAnsi="Arial" w:cs="Arial"/>
                <w:sz w:val="18"/>
                <w:szCs w:val="18"/>
              </w:rPr>
              <w:t>$7</w:t>
            </w:r>
            <w:r w:rsidR="000B5997" w:rsidRPr="00473FA9">
              <w:rPr>
                <w:rFonts w:ascii="Arial" w:hAnsi="Arial" w:cs="Arial"/>
                <w:sz w:val="18"/>
                <w:szCs w:val="18"/>
              </w:rPr>
              <w:t>5</w:t>
            </w:r>
            <w:r w:rsidR="00015C9F" w:rsidRPr="00473FA9">
              <w:rPr>
                <w:rFonts w:ascii="Arial" w:hAnsi="Arial" w:cs="Arial"/>
                <w:sz w:val="18"/>
                <w:szCs w:val="18"/>
              </w:rPr>
              <w:t>0,000  (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</w:t>
            </w:r>
            <w:r w:rsidR="00015C9F" w:rsidRPr="00473FA9">
              <w:rPr>
                <w:rFonts w:ascii="Arial" w:hAnsi="Arial" w:cs="Arial"/>
                <w:sz w:val="18"/>
                <w:szCs w:val="18"/>
              </w:rPr>
              <w:t>$1,500,000</w:t>
            </w:r>
            <w:r w:rsidR="00984969" w:rsidRPr="00473F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C9F" w:rsidRPr="00473FA9">
              <w:rPr>
                <w:rFonts w:ascii="Arial" w:hAnsi="Arial" w:cs="Arial"/>
                <w:sz w:val="18"/>
                <w:szCs w:val="18"/>
              </w:rPr>
              <w:t xml:space="preserve"> for construction)</w:t>
            </w:r>
          </w:p>
        </w:tc>
        <w:tc>
          <w:tcPr>
            <w:tcW w:w="3954" w:type="pct"/>
            <w:shd w:val="clear" w:color="auto" w:fill="F2F2F2"/>
          </w:tcPr>
          <w:p w14:paraId="6902B8C3" w14:textId="77777777" w:rsidR="00015C9F" w:rsidRPr="00473FA9" w:rsidRDefault="00015C9F" w:rsidP="00E82CB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Subcontracting Plan </w:t>
            </w:r>
            <w:r w:rsidR="00E82CB4" w:rsidRPr="00473FA9">
              <w:rPr>
                <w:rFonts w:ascii="Arial" w:hAnsi="Arial" w:cs="Arial"/>
                <w:sz w:val="18"/>
                <w:szCs w:val="18"/>
              </w:rPr>
              <w:t xml:space="preserve">for small business participation </w:t>
            </w:r>
            <w:r w:rsidRPr="00473FA9">
              <w:rPr>
                <w:rFonts w:ascii="Arial" w:hAnsi="Arial" w:cs="Arial"/>
                <w:sz w:val="18"/>
                <w:szCs w:val="18"/>
              </w:rPr>
              <w:t>required</w:t>
            </w:r>
            <w:r w:rsidR="00B701DA" w:rsidRPr="00473FA9">
              <w:rPr>
                <w:rFonts w:ascii="Arial" w:hAnsi="Arial" w:cs="Arial"/>
                <w:sz w:val="18"/>
                <w:szCs w:val="18"/>
              </w:rPr>
              <w:t xml:space="preserve"> for products, services, and construction</w:t>
            </w:r>
            <w:r w:rsidR="00E82CB4" w:rsidRPr="00473FA9">
              <w:rPr>
                <w:rFonts w:ascii="Arial" w:hAnsi="Arial" w:cs="Arial"/>
                <w:sz w:val="18"/>
                <w:szCs w:val="18"/>
              </w:rPr>
              <w:t>; however, see requirements and exceptions in AMS Guidance T3.6.1A.4.</w:t>
            </w:r>
          </w:p>
        </w:tc>
      </w:tr>
      <w:tr w:rsidR="004A10AB" w:rsidRPr="00473FA9" w14:paraId="02B406CB" w14:textId="77777777" w:rsidTr="00473FA9">
        <w:tc>
          <w:tcPr>
            <w:tcW w:w="1046" w:type="pct"/>
            <w:shd w:val="clear" w:color="auto" w:fill="F2F2F2"/>
          </w:tcPr>
          <w:p w14:paraId="772C8ED3" w14:textId="43E6A83A" w:rsidR="004A10AB" w:rsidRPr="00473FA9" w:rsidRDefault="00CC5517" w:rsidP="00CC5517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Greater than or equal to 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$</w:t>
            </w:r>
            <w:r w:rsidR="0045029C">
              <w:rPr>
                <w:rFonts w:ascii="Arial" w:hAnsi="Arial" w:cs="Arial"/>
                <w:sz w:val="18"/>
                <w:szCs w:val="18"/>
              </w:rPr>
              <w:t>4</w:t>
            </w:r>
            <w:r w:rsidR="004A10AB" w:rsidRPr="00473FA9">
              <w:rPr>
                <w:rFonts w:ascii="Arial" w:hAnsi="Arial" w:cs="Arial"/>
                <w:sz w:val="18"/>
                <w:szCs w:val="18"/>
              </w:rPr>
              <w:t>.5M</w:t>
            </w:r>
          </w:p>
        </w:tc>
        <w:tc>
          <w:tcPr>
            <w:tcW w:w="3954" w:type="pct"/>
            <w:shd w:val="clear" w:color="auto" w:fill="F2F2F2"/>
          </w:tcPr>
          <w:p w14:paraId="03703529" w14:textId="77777777" w:rsidR="004A10AB" w:rsidRPr="00473FA9" w:rsidRDefault="004A10AB" w:rsidP="005A2A9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Congressional notification at least 48 hours (exclusive of Federal holidays and weekends) prior to award</w:t>
            </w:r>
            <w:r w:rsidR="006563CB" w:rsidRPr="00473FA9">
              <w:rPr>
                <w:rFonts w:ascii="Arial" w:hAnsi="Arial" w:cs="Arial"/>
                <w:sz w:val="18"/>
                <w:szCs w:val="18"/>
              </w:rPr>
              <w:t xml:space="preserve"> of all procurements</w:t>
            </w:r>
            <w:r w:rsidRPr="00473FA9">
              <w:rPr>
                <w:rFonts w:ascii="Arial" w:hAnsi="Arial" w:cs="Arial"/>
                <w:sz w:val="18"/>
                <w:szCs w:val="18"/>
              </w:rPr>
              <w:t>, excluding interagency agreements</w:t>
            </w:r>
            <w:r w:rsidR="006563CB" w:rsidRPr="00473FA9">
              <w:rPr>
                <w:rFonts w:ascii="Arial" w:hAnsi="Arial" w:cs="Arial"/>
                <w:sz w:val="18"/>
                <w:szCs w:val="18"/>
              </w:rPr>
              <w:t xml:space="preserve"> and real property awards unless of interest to Congress.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4A10AB" w:rsidRPr="00473FA9" w14:paraId="48BD548D" w14:textId="77777777" w:rsidTr="00473FA9">
        <w:tc>
          <w:tcPr>
            <w:tcW w:w="1046" w:type="pct"/>
            <w:shd w:val="clear" w:color="auto" w:fill="F2F2F2"/>
          </w:tcPr>
          <w:p w14:paraId="2694130B" w14:textId="77777777" w:rsidR="00BF429C" w:rsidRPr="00473FA9" w:rsidRDefault="003274A2" w:rsidP="00BF42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Less than </w:t>
            </w:r>
            <w:r w:rsidR="00BF429C">
              <w:rPr>
                <w:rFonts w:ascii="Arial" w:hAnsi="Arial" w:cs="Arial"/>
                <w:sz w:val="18"/>
                <w:szCs w:val="18"/>
              </w:rPr>
              <w:t>$10M</w:t>
            </w:r>
          </w:p>
        </w:tc>
        <w:tc>
          <w:tcPr>
            <w:tcW w:w="3954" w:type="pct"/>
            <w:shd w:val="clear" w:color="auto" w:fill="F2F2F2"/>
          </w:tcPr>
          <w:p w14:paraId="19AB6198" w14:textId="77777777" w:rsidR="00BF429C" w:rsidRDefault="00BF429C" w:rsidP="0039278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May make noncompetitive awards to SEDB 8(a) vendors</w:t>
            </w:r>
            <w:r w:rsidR="00E747B2">
              <w:rPr>
                <w:rFonts w:ascii="Arial" w:hAnsi="Arial" w:cs="Arial"/>
                <w:sz w:val="18"/>
                <w:szCs w:val="18"/>
              </w:rPr>
              <w:t xml:space="preserve"> (a</w:t>
            </w:r>
            <w:r w:rsidR="000B2C62">
              <w:rPr>
                <w:rFonts w:ascii="Arial" w:hAnsi="Arial" w:cs="Arial"/>
                <w:sz w:val="18"/>
                <w:szCs w:val="18"/>
              </w:rPr>
              <w:t>ny</w:t>
            </w:r>
            <w:r w:rsidR="00E747B2">
              <w:rPr>
                <w:rFonts w:ascii="Arial" w:hAnsi="Arial" w:cs="Arial"/>
                <w:sz w:val="18"/>
                <w:szCs w:val="18"/>
              </w:rPr>
              <w:t xml:space="preserve"> NAICS codes)</w:t>
            </w:r>
          </w:p>
          <w:p w14:paraId="5ECBBA77" w14:textId="77777777" w:rsidR="00BF429C" w:rsidRPr="00473FA9" w:rsidRDefault="00BF429C" w:rsidP="0039278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BAB" w:rsidRPr="00473FA9" w14:paraId="3F0A5F42" w14:textId="77777777" w:rsidTr="00473FA9">
        <w:tc>
          <w:tcPr>
            <w:tcW w:w="1046" w:type="pct"/>
            <w:shd w:val="clear" w:color="auto" w:fill="F2F2F2"/>
          </w:tcPr>
          <w:p w14:paraId="4CC8405A" w14:textId="647BCA86" w:rsidR="00D70BAB" w:rsidRPr="00473FA9" w:rsidRDefault="00D70BAB" w:rsidP="004E0943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$1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73FA9">
              <w:rPr>
                <w:rFonts w:ascii="Arial" w:hAnsi="Arial" w:cs="Arial"/>
                <w:sz w:val="18"/>
                <w:szCs w:val="18"/>
              </w:rPr>
              <w:t>M or more</w:t>
            </w:r>
          </w:p>
        </w:tc>
        <w:tc>
          <w:tcPr>
            <w:tcW w:w="3954" w:type="pct"/>
            <w:shd w:val="clear" w:color="auto" w:fill="F2F2F2"/>
          </w:tcPr>
          <w:p w14:paraId="315E8C70" w14:textId="79F06188" w:rsidR="00D70BAB" w:rsidRPr="00473FA9" w:rsidRDefault="00D70BAB" w:rsidP="00D70BA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For other than construction contracting, pre-award clearance from the Office of Federal Contract Compliance (OFCCP) area office.    </w:t>
            </w:r>
          </w:p>
          <w:p w14:paraId="3959A48C" w14:textId="15DA8549" w:rsidR="00D70BAB" w:rsidRPr="00473FA9" w:rsidRDefault="00D70BAB" w:rsidP="00D70BA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The Administrator must review any non-Airport Improvement Program grant, cooperative agreement or other transaction valued over $10M or that has significant Congressional interest.   </w:t>
            </w:r>
          </w:p>
        </w:tc>
      </w:tr>
      <w:tr w:rsidR="004A10AB" w:rsidRPr="00473FA9" w14:paraId="04725E6C" w14:textId="77777777" w:rsidTr="00473FA9">
        <w:tc>
          <w:tcPr>
            <w:tcW w:w="1046" w:type="pct"/>
            <w:shd w:val="clear" w:color="auto" w:fill="F2F2F2"/>
          </w:tcPr>
          <w:p w14:paraId="22617F97" w14:textId="12C9BA60" w:rsidR="004A10AB" w:rsidRPr="00473FA9" w:rsidRDefault="004A10AB" w:rsidP="004E0943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$1</w:t>
            </w:r>
            <w:r w:rsidR="00D70BAB">
              <w:rPr>
                <w:rFonts w:ascii="Arial" w:hAnsi="Arial" w:cs="Arial"/>
                <w:sz w:val="18"/>
                <w:szCs w:val="18"/>
              </w:rPr>
              <w:t>5</w:t>
            </w:r>
            <w:r w:rsidRPr="00473FA9">
              <w:rPr>
                <w:rFonts w:ascii="Arial" w:hAnsi="Arial" w:cs="Arial"/>
                <w:sz w:val="18"/>
                <w:szCs w:val="18"/>
              </w:rPr>
              <w:t>M or more</w:t>
            </w:r>
          </w:p>
        </w:tc>
        <w:tc>
          <w:tcPr>
            <w:tcW w:w="3954" w:type="pct"/>
            <w:shd w:val="clear" w:color="auto" w:fill="F2F2F2"/>
          </w:tcPr>
          <w:p w14:paraId="3E9F6855" w14:textId="7B380421" w:rsidR="004A10AB" w:rsidRPr="00473FA9" w:rsidRDefault="004A10AB" w:rsidP="005D762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Chief Financial Officer (CFO) review required.     </w:t>
            </w:r>
          </w:p>
        </w:tc>
      </w:tr>
      <w:tr w:rsidR="008D671C" w:rsidRPr="00473FA9" w14:paraId="29DD2DA4" w14:textId="77777777" w:rsidTr="00473FA9">
        <w:tc>
          <w:tcPr>
            <w:tcW w:w="1046" w:type="pct"/>
            <w:shd w:val="clear" w:color="auto" w:fill="F2F2F2"/>
          </w:tcPr>
          <w:p w14:paraId="7043B9CC" w14:textId="691CFBA2" w:rsidR="000D784B" w:rsidRPr="00473FA9" w:rsidRDefault="008D671C" w:rsidP="004E0943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$10M or more</w:t>
            </w:r>
            <w:r w:rsidR="000D78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54" w:type="pct"/>
            <w:shd w:val="clear" w:color="auto" w:fill="F2F2F2"/>
          </w:tcPr>
          <w:p w14:paraId="11BA0EF9" w14:textId="2E58CFE5" w:rsidR="000D784B" w:rsidRPr="00473FA9" w:rsidRDefault="008D671C" w:rsidP="004311B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Support services comply with Acquisition Strategy Review Board (ASRB) requirement.</w:t>
            </w:r>
          </w:p>
        </w:tc>
      </w:tr>
      <w:tr w:rsidR="00E836EE" w:rsidRPr="00473FA9" w14:paraId="6FAD220B" w14:textId="77777777" w:rsidTr="00473FA9">
        <w:tc>
          <w:tcPr>
            <w:tcW w:w="1046" w:type="pct"/>
            <w:shd w:val="clear" w:color="auto" w:fill="F2F2F2"/>
          </w:tcPr>
          <w:p w14:paraId="2C26E464" w14:textId="77777777" w:rsidR="00E836EE" w:rsidRDefault="00E836EE" w:rsidP="00E836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Greater than $10M</w:t>
            </w:r>
          </w:p>
          <w:p w14:paraId="278650BC" w14:textId="77777777" w:rsidR="00E836EE" w:rsidRDefault="00E836EE" w:rsidP="00E836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pct"/>
            <w:shd w:val="clear" w:color="auto" w:fill="F2F2F2"/>
          </w:tcPr>
          <w:p w14:paraId="66D40ABF" w14:textId="6C47BDDC" w:rsidR="00E836EE" w:rsidRDefault="00E836EE" w:rsidP="004311B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consolidation of requirements is applicable to the acquisition, the applicable Supervisory Contracting Officer must justify contract consolidation per AMS Guidance T3.6.1A.6c.</w:t>
            </w:r>
          </w:p>
        </w:tc>
      </w:tr>
      <w:tr w:rsidR="00E836EE" w:rsidRPr="00473FA9" w14:paraId="512D1C27" w14:textId="77777777" w:rsidTr="00473FA9">
        <w:tc>
          <w:tcPr>
            <w:tcW w:w="1046" w:type="pct"/>
            <w:shd w:val="clear" w:color="auto" w:fill="F2F2F2"/>
          </w:tcPr>
          <w:p w14:paraId="639792DC" w14:textId="7F803E80" w:rsidR="00E836EE" w:rsidRPr="00473FA9" w:rsidRDefault="00E836EE" w:rsidP="00E836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Greater than $10M</w:t>
            </w:r>
          </w:p>
        </w:tc>
        <w:tc>
          <w:tcPr>
            <w:tcW w:w="3954" w:type="pct"/>
            <w:shd w:val="clear" w:color="auto" w:fill="F2F2F2"/>
          </w:tcPr>
          <w:p w14:paraId="48E9ECC5" w14:textId="22ADE0C3" w:rsidR="00E836EE" w:rsidRPr="00473FA9" w:rsidRDefault="00E836E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bundling is contemplated, the FAA Acquisition Executive is required to approve such determination per AMS T3.6.1A.6d.  </w:t>
            </w:r>
            <w:r w:rsidRPr="00923F43">
              <w:rPr>
                <w:rFonts w:ascii="Arial" w:hAnsi="Arial" w:cs="Arial"/>
                <w:b/>
                <w:sz w:val="18"/>
                <w:szCs w:val="18"/>
              </w:rPr>
              <w:t xml:space="preserve">See above for </w:t>
            </w:r>
            <w:r w:rsidR="00D70BAB">
              <w:rPr>
                <w:rFonts w:ascii="Arial" w:hAnsi="Arial" w:cs="Arial"/>
                <w:b/>
                <w:sz w:val="18"/>
                <w:szCs w:val="18"/>
              </w:rPr>
              <w:t>AMS risk</w:t>
            </w:r>
            <w:r w:rsidRPr="00923F43">
              <w:rPr>
                <w:rFonts w:ascii="Arial" w:hAnsi="Arial" w:cs="Arial"/>
                <w:b/>
                <w:sz w:val="18"/>
                <w:szCs w:val="18"/>
              </w:rPr>
              <w:t xml:space="preserve"> threshold for Task/Delivery Orders.</w:t>
            </w:r>
          </w:p>
        </w:tc>
      </w:tr>
      <w:tr w:rsidR="00435F4E" w:rsidRPr="00473FA9" w14:paraId="5B24DA98" w14:textId="77777777" w:rsidTr="00473FA9">
        <w:tc>
          <w:tcPr>
            <w:tcW w:w="1046" w:type="pct"/>
            <w:shd w:val="clear" w:color="auto" w:fill="F2F2F2"/>
          </w:tcPr>
          <w:p w14:paraId="252CB57C" w14:textId="77777777" w:rsidR="00435F4E" w:rsidRPr="00473FA9" w:rsidRDefault="00435F4E" w:rsidP="00E15E6A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Greater than $</w:t>
            </w:r>
            <w:r w:rsidR="00E15E6A" w:rsidRPr="00473FA9">
              <w:rPr>
                <w:rFonts w:ascii="Arial" w:hAnsi="Arial" w:cs="Arial"/>
                <w:sz w:val="18"/>
                <w:szCs w:val="18"/>
              </w:rPr>
              <w:t>25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MIL </w:t>
            </w:r>
          </w:p>
        </w:tc>
        <w:tc>
          <w:tcPr>
            <w:tcW w:w="3954" w:type="pct"/>
            <w:shd w:val="clear" w:color="auto" w:fill="F2F2F2"/>
          </w:tcPr>
          <w:p w14:paraId="3F3B25C5" w14:textId="77777777" w:rsidR="00435F4E" w:rsidRPr="00473FA9" w:rsidRDefault="00435F4E" w:rsidP="003131D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>Noncompetitive awards above th</w:t>
            </w:r>
            <w:r w:rsidR="003131D8" w:rsidRPr="00473FA9">
              <w:rPr>
                <w:rFonts w:ascii="Arial" w:hAnsi="Arial" w:cs="Arial"/>
                <w:sz w:val="18"/>
                <w:szCs w:val="18"/>
              </w:rPr>
              <w:t>is</w:t>
            </w:r>
            <w:r w:rsidRPr="00473FA9">
              <w:rPr>
                <w:rFonts w:ascii="Arial" w:hAnsi="Arial" w:cs="Arial"/>
                <w:sz w:val="18"/>
                <w:szCs w:val="18"/>
              </w:rPr>
              <w:t xml:space="preserve"> threshold to SEDB 8(a) vendors must be justified and documented as indicated in the AMS Small Business Program Procurement Guidance.</w:t>
            </w:r>
          </w:p>
        </w:tc>
      </w:tr>
      <w:tr w:rsidR="00435F4E" w:rsidRPr="00473FA9" w14:paraId="46F92935" w14:textId="77777777" w:rsidTr="00473FA9">
        <w:tc>
          <w:tcPr>
            <w:tcW w:w="1046" w:type="pct"/>
            <w:shd w:val="clear" w:color="auto" w:fill="F2F2F2"/>
          </w:tcPr>
          <w:p w14:paraId="2FE2E5DE" w14:textId="77777777" w:rsidR="00435F4E" w:rsidRPr="00473FA9" w:rsidRDefault="00435F4E" w:rsidP="00435F4E">
            <w:pPr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$100M or greater </w:t>
            </w:r>
          </w:p>
        </w:tc>
        <w:tc>
          <w:tcPr>
            <w:tcW w:w="3954" w:type="pct"/>
            <w:shd w:val="clear" w:color="auto" w:fill="F2F2F2"/>
          </w:tcPr>
          <w:p w14:paraId="2E9937A9" w14:textId="7FED2C20" w:rsidR="003570D1" w:rsidRDefault="00435F4E" w:rsidP="00435F4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73FA9">
              <w:rPr>
                <w:rFonts w:ascii="Arial" w:hAnsi="Arial" w:cs="Arial"/>
                <w:sz w:val="18"/>
                <w:szCs w:val="18"/>
              </w:rPr>
              <w:t xml:space="preserve">Audit required for any cost-type contract $100M or greater (base and all options).   </w:t>
            </w:r>
          </w:p>
          <w:p w14:paraId="7020B8B5" w14:textId="77777777" w:rsidR="003570D1" w:rsidRPr="003570D1" w:rsidRDefault="003570D1" w:rsidP="002103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29E34E" w14:textId="77777777" w:rsidR="003570D1" w:rsidRPr="00D70BAB" w:rsidRDefault="003570D1" w:rsidP="002103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2473CE" w14:textId="77777777" w:rsidR="003570D1" w:rsidRPr="00D70BAB" w:rsidRDefault="003570D1" w:rsidP="002103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C2B71E" w14:textId="36020FC9" w:rsidR="00435F4E" w:rsidRPr="00D70BAB" w:rsidRDefault="00435F4E" w:rsidP="002103F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AEB5C9" w14:textId="77777777" w:rsidR="00EA244A" w:rsidRPr="00473FA9" w:rsidRDefault="00EA244A" w:rsidP="003570D1">
      <w:pPr>
        <w:rPr>
          <w:rFonts w:ascii="Arial" w:hAnsi="Arial" w:cs="Arial"/>
          <w:sz w:val="18"/>
          <w:szCs w:val="18"/>
        </w:rPr>
      </w:pPr>
    </w:p>
    <w:sectPr w:rsidR="00EA244A" w:rsidRPr="00473FA9" w:rsidSect="00473FA9">
      <w:headerReference w:type="default" r:id="rId11"/>
      <w:footerReference w:type="default" r:id="rId12"/>
      <w:pgSz w:w="12240" w:h="15840"/>
      <w:pgMar w:top="1152" w:right="1440" w:bottom="1440" w:left="1440" w:header="63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4635B" w14:textId="77777777" w:rsidR="00AD79AA" w:rsidRDefault="00AD79AA" w:rsidP="00EA244A">
      <w:r>
        <w:separator/>
      </w:r>
    </w:p>
  </w:endnote>
  <w:endnote w:type="continuationSeparator" w:id="0">
    <w:p w14:paraId="4CC5F87D" w14:textId="77777777" w:rsidR="00AD79AA" w:rsidRDefault="00AD79AA" w:rsidP="00EA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CD9C" w14:textId="61B9E7D9" w:rsidR="00473FA9" w:rsidRPr="00473FA9" w:rsidRDefault="00473FA9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 w:rsidRPr="00473FA9">
      <w:rPr>
        <w:rFonts w:ascii="Arial Black" w:hAnsi="Arial Black"/>
        <w:color w:val="002060"/>
        <w:sz w:val="16"/>
        <w:szCs w:val="16"/>
      </w:rPr>
      <w:t xml:space="preserve">AMS Procurement-Related Thresholds and Review Requirements | </w:t>
    </w:r>
    <w:r w:rsidRPr="00473FA9">
      <w:rPr>
        <w:rFonts w:ascii="Arial Black" w:hAnsi="Arial Black"/>
        <w:color w:val="002060"/>
        <w:sz w:val="16"/>
        <w:szCs w:val="16"/>
      </w:rPr>
      <w:fldChar w:fldCharType="begin"/>
    </w:r>
    <w:r w:rsidRPr="00473FA9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Pr="00473FA9">
      <w:rPr>
        <w:rFonts w:ascii="Arial Black" w:hAnsi="Arial Black"/>
        <w:color w:val="002060"/>
        <w:sz w:val="16"/>
        <w:szCs w:val="16"/>
      </w:rPr>
      <w:fldChar w:fldCharType="separate"/>
    </w:r>
    <w:r w:rsidR="00304DB6">
      <w:rPr>
        <w:rFonts w:ascii="Arial Black" w:hAnsi="Arial Black"/>
        <w:noProof/>
        <w:color w:val="002060"/>
        <w:sz w:val="16"/>
        <w:szCs w:val="16"/>
      </w:rPr>
      <w:t>1</w:t>
    </w:r>
    <w:r w:rsidRPr="00473FA9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29AABC47" w14:textId="2F035230" w:rsidR="00473FA9" w:rsidRPr="00473FA9" w:rsidRDefault="00A66035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>October</w:t>
    </w:r>
    <w:r w:rsidR="000442BE">
      <w:rPr>
        <w:rFonts w:ascii="Arial" w:hAnsi="Arial" w:cs="Arial"/>
        <w:noProof/>
        <w:color w:val="002060"/>
        <w:sz w:val="16"/>
        <w:szCs w:val="16"/>
      </w:rPr>
      <w:t xml:space="preserve"> 2023</w:t>
    </w:r>
  </w:p>
  <w:p w14:paraId="1605CB22" w14:textId="77777777" w:rsidR="00C575D8" w:rsidRPr="008467A6" w:rsidRDefault="00C575D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AA56" w14:textId="77777777" w:rsidR="00AD79AA" w:rsidRDefault="00AD79AA" w:rsidP="00EA244A">
      <w:r>
        <w:separator/>
      </w:r>
    </w:p>
  </w:footnote>
  <w:footnote w:type="continuationSeparator" w:id="0">
    <w:p w14:paraId="1999A634" w14:textId="77777777" w:rsidR="00AD79AA" w:rsidRDefault="00AD79AA" w:rsidP="00EA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67D" w14:textId="77777777" w:rsidR="00473FA9" w:rsidRDefault="003A728D">
    <w:pPr>
      <w:pStyle w:val="Header"/>
    </w:pPr>
    <w:r w:rsidRPr="00473FA9">
      <w:rPr>
        <w:noProof/>
        <w:color w:val="000000"/>
      </w:rPr>
      <w:drawing>
        <wp:inline distT="0" distB="0" distL="0" distR="0" wp14:anchorId="544CFFE5" wp14:editId="2901CD35">
          <wp:extent cx="73152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03CF7"/>
    <w:multiLevelType w:val="hybridMultilevel"/>
    <w:tmpl w:val="9D6CB3BC"/>
    <w:lvl w:ilvl="0" w:tplc="68865C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97173"/>
    <w:multiLevelType w:val="hybridMultilevel"/>
    <w:tmpl w:val="C9660434"/>
    <w:lvl w:ilvl="0" w:tplc="0E9838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53DE3"/>
    <w:multiLevelType w:val="hybridMultilevel"/>
    <w:tmpl w:val="FDE4DFA6"/>
    <w:lvl w:ilvl="0" w:tplc="E3E433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5079">
    <w:abstractNumId w:val="1"/>
  </w:num>
  <w:num w:numId="2" w16cid:durableId="38870585">
    <w:abstractNumId w:val="2"/>
  </w:num>
  <w:num w:numId="3" w16cid:durableId="136128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4A"/>
    <w:rsid w:val="00011872"/>
    <w:rsid w:val="00015C9F"/>
    <w:rsid w:val="00027733"/>
    <w:rsid w:val="00035FBD"/>
    <w:rsid w:val="000442BE"/>
    <w:rsid w:val="00046A6D"/>
    <w:rsid w:val="00046FF3"/>
    <w:rsid w:val="00050569"/>
    <w:rsid w:val="00060097"/>
    <w:rsid w:val="00073619"/>
    <w:rsid w:val="000846BD"/>
    <w:rsid w:val="000855D5"/>
    <w:rsid w:val="00085E3C"/>
    <w:rsid w:val="00093E58"/>
    <w:rsid w:val="0009521D"/>
    <w:rsid w:val="000A2FA6"/>
    <w:rsid w:val="000B2C62"/>
    <w:rsid w:val="000B3A34"/>
    <w:rsid w:val="000B4A4E"/>
    <w:rsid w:val="000B5997"/>
    <w:rsid w:val="000C7D4F"/>
    <w:rsid w:val="000D784B"/>
    <w:rsid w:val="000F1AD7"/>
    <w:rsid w:val="000F7E4C"/>
    <w:rsid w:val="001044CA"/>
    <w:rsid w:val="001053EA"/>
    <w:rsid w:val="00112110"/>
    <w:rsid w:val="00130F5F"/>
    <w:rsid w:val="001478A7"/>
    <w:rsid w:val="00175070"/>
    <w:rsid w:val="00197CC6"/>
    <w:rsid w:val="001B2D9D"/>
    <w:rsid w:val="001B5C0C"/>
    <w:rsid w:val="001B7620"/>
    <w:rsid w:val="001E23E8"/>
    <w:rsid w:val="001F2C25"/>
    <w:rsid w:val="002103F3"/>
    <w:rsid w:val="002421A9"/>
    <w:rsid w:val="002602C4"/>
    <w:rsid w:val="0028559A"/>
    <w:rsid w:val="00294C3A"/>
    <w:rsid w:val="002B7341"/>
    <w:rsid w:val="002D166D"/>
    <w:rsid w:val="002D7333"/>
    <w:rsid w:val="002E0E21"/>
    <w:rsid w:val="002F1C35"/>
    <w:rsid w:val="00301AC7"/>
    <w:rsid w:val="0030200D"/>
    <w:rsid w:val="00304DB6"/>
    <w:rsid w:val="003131D8"/>
    <w:rsid w:val="00325B7B"/>
    <w:rsid w:val="003274A2"/>
    <w:rsid w:val="003325C7"/>
    <w:rsid w:val="003334EE"/>
    <w:rsid w:val="003368FE"/>
    <w:rsid w:val="003570D1"/>
    <w:rsid w:val="00372493"/>
    <w:rsid w:val="0039182A"/>
    <w:rsid w:val="0039278D"/>
    <w:rsid w:val="003A2367"/>
    <w:rsid w:val="003A7139"/>
    <w:rsid w:val="003A728D"/>
    <w:rsid w:val="003D0462"/>
    <w:rsid w:val="003D271A"/>
    <w:rsid w:val="003D591D"/>
    <w:rsid w:val="003E3CB7"/>
    <w:rsid w:val="003F7BC2"/>
    <w:rsid w:val="00403872"/>
    <w:rsid w:val="004074BB"/>
    <w:rsid w:val="00426AAD"/>
    <w:rsid w:val="004311B8"/>
    <w:rsid w:val="00435F4E"/>
    <w:rsid w:val="00445EC7"/>
    <w:rsid w:val="0045029C"/>
    <w:rsid w:val="00455658"/>
    <w:rsid w:val="00473FA9"/>
    <w:rsid w:val="00482745"/>
    <w:rsid w:val="0048615E"/>
    <w:rsid w:val="00490306"/>
    <w:rsid w:val="004A10AB"/>
    <w:rsid w:val="004A480D"/>
    <w:rsid w:val="004A5F8E"/>
    <w:rsid w:val="004B10F8"/>
    <w:rsid w:val="004B51A1"/>
    <w:rsid w:val="004E0943"/>
    <w:rsid w:val="004E320B"/>
    <w:rsid w:val="004E63BC"/>
    <w:rsid w:val="004F207B"/>
    <w:rsid w:val="00521F4B"/>
    <w:rsid w:val="005337F1"/>
    <w:rsid w:val="005428B3"/>
    <w:rsid w:val="00545C08"/>
    <w:rsid w:val="005515C6"/>
    <w:rsid w:val="00580956"/>
    <w:rsid w:val="00585DAA"/>
    <w:rsid w:val="0059398D"/>
    <w:rsid w:val="005A10D9"/>
    <w:rsid w:val="005A2A98"/>
    <w:rsid w:val="005D7626"/>
    <w:rsid w:val="005E5510"/>
    <w:rsid w:val="005E6EE5"/>
    <w:rsid w:val="005F0E44"/>
    <w:rsid w:val="006178A4"/>
    <w:rsid w:val="00622C80"/>
    <w:rsid w:val="00626705"/>
    <w:rsid w:val="00627154"/>
    <w:rsid w:val="00633492"/>
    <w:rsid w:val="00636F3C"/>
    <w:rsid w:val="00637330"/>
    <w:rsid w:val="00637F35"/>
    <w:rsid w:val="0064664F"/>
    <w:rsid w:val="006478F4"/>
    <w:rsid w:val="00650ED6"/>
    <w:rsid w:val="00650EE9"/>
    <w:rsid w:val="00653121"/>
    <w:rsid w:val="00653315"/>
    <w:rsid w:val="00655877"/>
    <w:rsid w:val="006563CB"/>
    <w:rsid w:val="00665EDB"/>
    <w:rsid w:val="006664F0"/>
    <w:rsid w:val="00674375"/>
    <w:rsid w:val="00694FE5"/>
    <w:rsid w:val="00697869"/>
    <w:rsid w:val="006B5479"/>
    <w:rsid w:val="006C036E"/>
    <w:rsid w:val="006D516C"/>
    <w:rsid w:val="006D7E80"/>
    <w:rsid w:val="006E03E0"/>
    <w:rsid w:val="006F53E8"/>
    <w:rsid w:val="00700A02"/>
    <w:rsid w:val="007115FB"/>
    <w:rsid w:val="0072359B"/>
    <w:rsid w:val="00725263"/>
    <w:rsid w:val="00746721"/>
    <w:rsid w:val="0077140E"/>
    <w:rsid w:val="007937D5"/>
    <w:rsid w:val="007A6D7D"/>
    <w:rsid w:val="007B4600"/>
    <w:rsid w:val="007C0B0A"/>
    <w:rsid w:val="007C4E0F"/>
    <w:rsid w:val="007E1898"/>
    <w:rsid w:val="007F2314"/>
    <w:rsid w:val="00844DC4"/>
    <w:rsid w:val="008467A6"/>
    <w:rsid w:val="00861EEB"/>
    <w:rsid w:val="00864EBF"/>
    <w:rsid w:val="0086582A"/>
    <w:rsid w:val="00867A57"/>
    <w:rsid w:val="00881E28"/>
    <w:rsid w:val="00887C8D"/>
    <w:rsid w:val="00897CDE"/>
    <w:rsid w:val="008A151B"/>
    <w:rsid w:val="008A3671"/>
    <w:rsid w:val="008B5FC0"/>
    <w:rsid w:val="008C383B"/>
    <w:rsid w:val="008C52C8"/>
    <w:rsid w:val="008D671C"/>
    <w:rsid w:val="008E235C"/>
    <w:rsid w:val="008F551A"/>
    <w:rsid w:val="00904293"/>
    <w:rsid w:val="0090465D"/>
    <w:rsid w:val="009224C3"/>
    <w:rsid w:val="009317B0"/>
    <w:rsid w:val="00931DB9"/>
    <w:rsid w:val="009409EE"/>
    <w:rsid w:val="00940B22"/>
    <w:rsid w:val="00946697"/>
    <w:rsid w:val="00946C21"/>
    <w:rsid w:val="00947F10"/>
    <w:rsid w:val="0096472F"/>
    <w:rsid w:val="0096720E"/>
    <w:rsid w:val="00972EFD"/>
    <w:rsid w:val="009742C6"/>
    <w:rsid w:val="00983A00"/>
    <w:rsid w:val="00984969"/>
    <w:rsid w:val="00987570"/>
    <w:rsid w:val="009A0F45"/>
    <w:rsid w:val="009B14F8"/>
    <w:rsid w:val="00A228CF"/>
    <w:rsid w:val="00A24DB4"/>
    <w:rsid w:val="00A30275"/>
    <w:rsid w:val="00A340DC"/>
    <w:rsid w:val="00A41E45"/>
    <w:rsid w:val="00A4435D"/>
    <w:rsid w:val="00A66035"/>
    <w:rsid w:val="00A700B3"/>
    <w:rsid w:val="00A85D28"/>
    <w:rsid w:val="00A9563C"/>
    <w:rsid w:val="00AB3A6E"/>
    <w:rsid w:val="00AD79AA"/>
    <w:rsid w:val="00AF0388"/>
    <w:rsid w:val="00AF50EB"/>
    <w:rsid w:val="00B1449F"/>
    <w:rsid w:val="00B15739"/>
    <w:rsid w:val="00B43718"/>
    <w:rsid w:val="00B509FC"/>
    <w:rsid w:val="00B701DA"/>
    <w:rsid w:val="00B92CF8"/>
    <w:rsid w:val="00BA30A8"/>
    <w:rsid w:val="00BA3689"/>
    <w:rsid w:val="00BA57AB"/>
    <w:rsid w:val="00BE1CB8"/>
    <w:rsid w:val="00BE7AD0"/>
    <w:rsid w:val="00BF429C"/>
    <w:rsid w:val="00C00E5B"/>
    <w:rsid w:val="00C011DB"/>
    <w:rsid w:val="00C03A9F"/>
    <w:rsid w:val="00C03CB5"/>
    <w:rsid w:val="00C12457"/>
    <w:rsid w:val="00C2001E"/>
    <w:rsid w:val="00C23F54"/>
    <w:rsid w:val="00C40BBC"/>
    <w:rsid w:val="00C41681"/>
    <w:rsid w:val="00C53969"/>
    <w:rsid w:val="00C55236"/>
    <w:rsid w:val="00C575D8"/>
    <w:rsid w:val="00C81411"/>
    <w:rsid w:val="00C86497"/>
    <w:rsid w:val="00CC2C43"/>
    <w:rsid w:val="00CC5517"/>
    <w:rsid w:val="00CD1CFE"/>
    <w:rsid w:val="00CE3A38"/>
    <w:rsid w:val="00CE41EB"/>
    <w:rsid w:val="00CF5774"/>
    <w:rsid w:val="00D163D6"/>
    <w:rsid w:val="00D320AD"/>
    <w:rsid w:val="00D355E9"/>
    <w:rsid w:val="00D37EC6"/>
    <w:rsid w:val="00D40597"/>
    <w:rsid w:val="00D51FB7"/>
    <w:rsid w:val="00D64A90"/>
    <w:rsid w:val="00D66433"/>
    <w:rsid w:val="00D70BAB"/>
    <w:rsid w:val="00D71775"/>
    <w:rsid w:val="00DA0156"/>
    <w:rsid w:val="00DA1557"/>
    <w:rsid w:val="00DA6C2E"/>
    <w:rsid w:val="00DB00A8"/>
    <w:rsid w:val="00DC40F4"/>
    <w:rsid w:val="00DD317F"/>
    <w:rsid w:val="00DD5064"/>
    <w:rsid w:val="00DD5AFA"/>
    <w:rsid w:val="00DE581E"/>
    <w:rsid w:val="00DF08A9"/>
    <w:rsid w:val="00DF588F"/>
    <w:rsid w:val="00E02F9E"/>
    <w:rsid w:val="00E03352"/>
    <w:rsid w:val="00E15E6A"/>
    <w:rsid w:val="00E16DE5"/>
    <w:rsid w:val="00E26D2B"/>
    <w:rsid w:val="00E3229B"/>
    <w:rsid w:val="00E35929"/>
    <w:rsid w:val="00E607AD"/>
    <w:rsid w:val="00E66040"/>
    <w:rsid w:val="00E704C8"/>
    <w:rsid w:val="00E747B2"/>
    <w:rsid w:val="00E811CF"/>
    <w:rsid w:val="00E82CB4"/>
    <w:rsid w:val="00E82DB4"/>
    <w:rsid w:val="00E836EE"/>
    <w:rsid w:val="00EA1872"/>
    <w:rsid w:val="00EA244A"/>
    <w:rsid w:val="00EA44FA"/>
    <w:rsid w:val="00EA6A1A"/>
    <w:rsid w:val="00EC61D8"/>
    <w:rsid w:val="00ED65C9"/>
    <w:rsid w:val="00EE4B25"/>
    <w:rsid w:val="00EF2D3C"/>
    <w:rsid w:val="00EF5C8C"/>
    <w:rsid w:val="00EF7C52"/>
    <w:rsid w:val="00F003F6"/>
    <w:rsid w:val="00F0391B"/>
    <w:rsid w:val="00F04A9C"/>
    <w:rsid w:val="00F05E88"/>
    <w:rsid w:val="00F47A95"/>
    <w:rsid w:val="00F516E5"/>
    <w:rsid w:val="00F65440"/>
    <w:rsid w:val="00F7405D"/>
    <w:rsid w:val="00F8481C"/>
    <w:rsid w:val="00FB3A29"/>
    <w:rsid w:val="00FB5D9A"/>
    <w:rsid w:val="00FB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  <w14:docId w14:val="004CAC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4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44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A244A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EA244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A244A"/>
    <w:rPr>
      <w:sz w:val="24"/>
      <w:szCs w:val="22"/>
    </w:rPr>
  </w:style>
  <w:style w:type="table" w:styleId="TableGrid">
    <w:name w:val="Table Grid"/>
    <w:basedOn w:val="TableNormal"/>
    <w:rsid w:val="00EA24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Header">
    <w:name w:val="Page Header"/>
    <w:basedOn w:val="Normal"/>
    <w:rsid w:val="00EA244A"/>
    <w:pPr>
      <w:keepNext/>
      <w:suppressAutoHyphens/>
    </w:pPr>
    <w:rPr>
      <w:rFonts w:ascii="Arial" w:hAnsi="Arial"/>
      <w:b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8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87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25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2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26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2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263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4502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  <MediaLengthInSeconds xmlns="09bd6b20-41ff-41f5-84a2-18f56ef5483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7" ma:contentTypeDescription="Create a new document." ma:contentTypeScope="" ma:versionID="bc1ae2e73daaae26574eab9905f096be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d22f14293a08492fec0e7c817081a128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C87E2-2A1D-4ECC-81F5-B927ABF3F4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6588C-AEB7-41D9-8816-1C845AD864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DA297A-284F-49D0-96C1-DDA7AE2E63D9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931bdde-c88b-4487-bc48-8ddea9ecd054"/>
    <ds:schemaRef ds:uri="67068bdd-c3b8-4ab8-9571-dde9043262ba"/>
    <ds:schemaRef ds:uri="http://schemas.microsoft.com/office/2006/metadata/properties"/>
    <ds:schemaRef ds:uri="403420c1-34c8-43a7-8881-5ebe12a9d76b"/>
    <ds:schemaRef ds:uri="09bd6b20-41ff-41f5-84a2-18f56ef54833"/>
  </ds:schemaRefs>
</ds:datastoreItem>
</file>

<file path=customXml/itemProps4.xml><?xml version="1.0" encoding="utf-8"?>
<ds:datastoreItem xmlns:ds="http://schemas.openxmlformats.org/officeDocument/2006/customXml" ds:itemID="{EE40EA7E-E76C-4B2A-A1BF-51556D392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2023-09-25T14:36:00Z</dcterms:created>
  <dcterms:modified xsi:type="dcterms:W3CDTF">2023-09-25T14:36:00Z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660500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IncorporatedIntoMaster?">
    <vt:lpwstr>No</vt:lpwstr>
  </property>
</Properties>
</file>